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APPENDIX</w:t>
      </w:r>
    </w:p>
    <w:p>
      <w:pPr>
        <w:jc w:val="center"/>
      </w:pPr>
      <w:r>
        <w:rPr>
          <w:b/>
          <w:color w:val="17365D"/>
          <w:sz w:val="44"/>
        </w:rPr>
        <w:t>Captain Edward “Ted” Davies</w:t>
      </w:r>
    </w:p>
    <w:p>
      <w:pPr>
        <w:jc w:val="center"/>
      </w:pPr>
      <w:r>
        <w:rPr>
          <w:color w:val="2F5597"/>
          <w:sz w:val="26"/>
        </w:rPr>
        <w:t>Family origins, orphan years, sister network, and maritime documentary reconstruction</w:t>
      </w:r>
    </w:p>
    <w:p>
      <w:pPr>
        <w:pStyle w:val="SubtitleSmall"/>
        <w:jc w:val="center"/>
      </w:pPr>
      <w:r>
        <w:t>Prepared as a long-form preservation appendix to the Robert James Davies family-history project</w:t>
        <w:br/>
        <w:t>Updated 28 August 2026</w:t>
      </w:r>
    </w:p>
    <w:tbl>
      <w:tblPr>
        <w:tblW w:type="auto" w:w="0"/>
        <w:jc w:val="center"/>
        <w:tblLayout w:type="autofit"/>
        <w:tblLook w:firstColumn="1" w:firstRow="1" w:lastColumn="0" w:lastRow="0" w:noHBand="0" w:noVBand="1" w:val="04A0"/>
      </w:tblPr>
      <w:tblGrid>
        <w:gridCol w:w="9936"/>
      </w:tblGrid>
      <w:tr>
        <w:trPr>
          <w:tblHeader w:val="true"/>
        </w:trPr>
        <w:tc>
          <w:tcPr>
            <w:tcW w:type="dxa" w:w="9936"/>
            <w:shd w:fill="D9EAF7"/>
            <w:tcMar>
              <w:top w:w="120" w:type="dxa"/>
              <w:start w:w="140" w:type="dxa"/>
              <w:bottom w:w="120" w:type="dxa"/>
              <w:end w:w="140" w:type="dxa"/>
            </w:tcMar>
          </w:tcPr>
          <w:p>
            <w:pPr>
              <w:keepLines/>
              <w:spacing w:after="0"/>
            </w:pPr>
            <w:r>
              <w:rPr>
                <w:b/>
                <w:color w:val="17365D"/>
              </w:rPr>
              <w:t>Purpose of this appendix</w:t>
            </w:r>
            <w:r>
              <w:br/>
              <w:t>This is not a separate Captain Ted keepsake. It is a preservation appendix: a deliberately rich record of what is known, what is strongly inferred, what remains family memory, and what still needs proof. It is intended to remain useful even if no further research is undertaken. The evidence log remains the project authority; this appendix is a readable synthesis.</w:t>
            </w:r>
          </w:p>
        </w:tc>
      </w:tr>
    </w:tbl>
    <w:p>
      <w:pPr>
        <w:spacing w:after="0"/>
      </w:pPr>
    </w:p>
    <w:p>
      <w:pPr>
        <w:jc w:val="center"/>
      </w:pPr>
      <w:r>
        <w:rPr>
          <w:b/>
          <w:color w:val="17365D"/>
          <w:sz w:val="24"/>
        </w:rPr>
        <w:t>Current bottom line</w:t>
      </w:r>
    </w:p>
    <w:p>
      <w:pPr>
        <w:jc w:val="center"/>
      </w:pPr>
      <w:r>
        <w:rPr>
          <w:b/>
          <w:sz w:val="22"/>
        </w:rPr>
        <w:t>Ted was orphaned at about ten, remained inside a closely connected Halifax sibling network, and by age fifteen is documentably living with one of his older sisters and her young family. The exact 1916–1920 custody sequence remains open.</w:t>
      </w:r>
    </w:p>
    <w:p>
      <w:r>
        <w:br w:type="page"/>
      </w:r>
    </w:p>
    <w:p>
      <w:pPr>
        <w:pStyle w:val="Heading1"/>
        <w:keepNext/>
      </w:pPr>
      <w:r>
        <w:t>Contents</w:t>
      </w:r>
    </w:p>
    <w:p>
      <w:pPr>
        <w:pStyle w:val="ListBullet"/>
        <w:spacing w:after="40"/>
      </w:pPr>
      <w:r>
        <w:t>1. How to read this appendix</w:t>
      </w:r>
    </w:p>
    <w:p>
      <w:pPr>
        <w:pStyle w:val="ListBullet"/>
        <w:spacing w:after="40"/>
      </w:pPr>
      <w:r>
        <w:t>2. Executive reconstruction</w:t>
      </w:r>
    </w:p>
    <w:p>
      <w:pPr>
        <w:pStyle w:val="ListBullet"/>
        <w:spacing w:after="40"/>
      </w:pPr>
      <w:r>
        <w:t>3. Family of origin before Ted’s birth</w:t>
      </w:r>
    </w:p>
    <w:p>
      <w:pPr>
        <w:pStyle w:val="ListBullet"/>
        <w:spacing w:after="40"/>
      </w:pPr>
      <w:r>
        <w:t>4. The Davies sibling group</w:t>
      </w:r>
    </w:p>
    <w:p>
      <w:pPr>
        <w:pStyle w:val="ListBullet"/>
        <w:spacing w:after="40"/>
      </w:pPr>
      <w:r>
        <w:t>5. 1911: Ted still in the parental household</w:t>
      </w:r>
    </w:p>
    <w:p>
      <w:pPr>
        <w:pStyle w:val="ListBullet"/>
        <w:spacing w:after="40"/>
      </w:pPr>
      <w:r>
        <w:t>6. 1915–1916: orphaning</w:t>
      </w:r>
    </w:p>
    <w:p>
      <w:pPr>
        <w:pStyle w:val="ListBullet"/>
      </w:pPr>
      <w:r>
        <w:t>6A. Halifax in the Crucible: The World Ted Inherited, 1914–1921</w:t>
      </w:r>
    </w:p>
    <w:p>
      <w:pPr>
        <w:pStyle w:val="ListBullet"/>
        <w:spacing w:after="40"/>
      </w:pPr>
      <w:r>
        <w:t>7. The older-sister support network</w:t>
      </w:r>
    </w:p>
    <w:p>
      <w:pPr>
        <w:pStyle w:val="ListBullet"/>
        <w:spacing w:after="40"/>
      </w:pPr>
      <w:r>
        <w:t>8. Violet Alberta (“Bertha” / “Alberta”) Davies: the Hall → McKenzie chain</w:t>
      </w:r>
    </w:p>
    <w:p>
      <w:pPr>
        <w:pStyle w:val="ListBullet"/>
        <w:spacing w:after="40"/>
      </w:pPr>
      <w:r>
        <w:t>9. Roy/Ray Hall-McKenzie: the child-level bridge</w:t>
      </w:r>
    </w:p>
    <w:p>
      <w:pPr>
        <w:pStyle w:val="ListBullet"/>
        <w:spacing w:after="40"/>
      </w:pPr>
      <w:r>
        <w:t>10. 1921: Ted documented in a sister’s household</w:t>
      </w:r>
    </w:p>
    <w:p>
      <w:pPr>
        <w:pStyle w:val="ListBullet"/>
        <w:spacing w:after="40"/>
      </w:pPr>
      <w:r>
        <w:t>11. Spryfield, McNeil, Florence, Kirby and Turner: the wider network</w:t>
      </w:r>
    </w:p>
    <w:p>
      <w:pPr>
        <w:pStyle w:val="ListBullet"/>
        <w:spacing w:after="40"/>
      </w:pPr>
      <w:r>
        <w:t>12. What can responsibly be said about how Ted was raised</w:t>
      </w:r>
    </w:p>
    <w:p>
      <w:pPr>
        <w:pStyle w:val="ListBullet"/>
        <w:spacing w:after="40"/>
      </w:pPr>
      <w:r>
        <w:t>13. The uncertain transition to sea</w:t>
      </w:r>
    </w:p>
    <w:p>
      <w:pPr>
        <w:pStyle w:val="ListBullet"/>
        <w:spacing w:after="40"/>
      </w:pPr>
      <w:r>
        <w:t>14. Marriage, children, and the family he built</w:t>
      </w:r>
    </w:p>
    <w:p>
      <w:pPr>
        <w:pStyle w:val="ListBullet"/>
        <w:spacing w:after="40"/>
      </w:pPr>
      <w:r>
        <w:t>15. Wartime career, O.B.E., and S.S. Sarnolite</w:t>
      </w:r>
    </w:p>
    <w:p>
      <w:pPr>
        <w:pStyle w:val="ListBullet"/>
        <w:spacing w:after="40"/>
      </w:pPr>
      <w:r>
        <w:t>16. The Sarnolite → Imperial Hamilton intergenerational link</w:t>
      </w:r>
    </w:p>
    <w:p>
      <w:pPr>
        <w:pStyle w:val="ListBullet"/>
        <w:spacing w:after="40"/>
      </w:pPr>
      <w:r>
        <w:t>17. Conflicts, anomalies, and unresolved questions</w:t>
      </w:r>
    </w:p>
    <w:p>
      <w:pPr>
        <w:pStyle w:val="ListBullet"/>
        <w:spacing w:after="40"/>
      </w:pPr>
      <w:r>
        <w:t>18. Narrative-ready long-form account</w:t>
      </w:r>
    </w:p>
    <w:p>
      <w:pPr>
        <w:pStyle w:val="ListBullet"/>
        <w:spacing w:after="40"/>
      </w:pPr>
      <w:r>
        <w:t>19. Research priorities if work resumes</w:t>
      </w:r>
    </w:p>
    <w:p>
      <w:pPr>
        <w:pStyle w:val="ListBullet"/>
        <w:spacing w:after="40"/>
      </w:pPr>
      <w:r>
        <w:t>20. Source register and evidence grades</w:t>
      </w:r>
    </w:p>
    <w:p>
      <w:pPr>
        <w:pStyle w:val="Heading1"/>
        <w:keepNext/>
      </w:pPr>
      <w:r>
        <w:t>1. How to read this appendix</w:t>
      </w:r>
    </w:p>
    <w:p>
      <w:r>
        <w:t>The project distinguishes four kinds of statements. The distinction matters because the surviving record is unusually good in some places and genuinely incomplete in others.</w:t>
      </w:r>
    </w:p>
    <w:tbl>
      <w:tblPr>
        <w:tblStyle w:val="TableGrid"/>
        <w:tblW w:type="auto" w:w="0"/>
        <w:jc w:val="center"/>
        <w:tblLook w:firstColumn="1" w:firstRow="1" w:lastColumn="0" w:lastRow="0" w:noHBand="0" w:noVBand="1" w:val="04A0"/>
      </w:tblPr>
      <w:tblGrid>
        <w:gridCol w:w="3312"/>
        <w:gridCol w:w="3312"/>
        <w:gridCol w:w="3312"/>
      </w:tblGrid>
      <w:tr>
        <w:trPr>
          <w:tblHeader w:val="true"/>
        </w:trPr>
        <w:tc>
          <w:tcPr>
            <w:tcW w:type="dxa" w:w="1944"/>
            <w:shd w:fill="17365D"/>
            <w:tcMar>
              <w:top w:w="80" w:type="dxa"/>
              <w:start w:w="80" w:type="dxa"/>
              <w:bottom w:w="80" w:type="dxa"/>
              <w:end w:w="80" w:type="dxa"/>
            </w:tcMar>
          </w:tcPr>
          <w:p>
            <w:pPr>
              <w:keepLines/>
            </w:pPr>
            <w:r>
              <w:rPr>
                <w:b/>
                <w:color w:val="FFFFFF"/>
                <w:sz w:val="18"/>
              </w:rPr>
              <w:t>Label</w:t>
            </w:r>
          </w:p>
        </w:tc>
        <w:tc>
          <w:tcPr>
            <w:tcW w:type="dxa" w:w="4464"/>
            <w:shd w:fill="17365D"/>
            <w:tcMar>
              <w:top w:w="80" w:type="dxa"/>
              <w:start w:w="80" w:type="dxa"/>
              <w:bottom w:w="80" w:type="dxa"/>
              <w:end w:w="80" w:type="dxa"/>
            </w:tcMar>
          </w:tcPr>
          <w:p>
            <w:pPr>
              <w:keepLines/>
            </w:pPr>
            <w:r>
              <w:rPr>
                <w:b/>
                <w:color w:val="FFFFFF"/>
                <w:sz w:val="18"/>
              </w:rPr>
              <w:t>Meaning</w:t>
            </w:r>
          </w:p>
        </w:tc>
        <w:tc>
          <w:tcPr>
            <w:tcW w:type="dxa" w:w="3888"/>
            <w:shd w:fill="17365D"/>
            <w:tcMar>
              <w:top w:w="80" w:type="dxa"/>
              <w:start w:w="80" w:type="dxa"/>
              <w:bottom w:w="80" w:type="dxa"/>
              <w:end w:w="80" w:type="dxa"/>
            </w:tcMar>
          </w:tcPr>
          <w:p>
            <w:pPr>
              <w:keepLines/>
            </w:pPr>
            <w:r>
              <w:rPr>
                <w:b/>
                <w:color w:val="FFFFFF"/>
                <w:sz w:val="18"/>
              </w:rPr>
              <w:t>Use in narrative</w:t>
            </w:r>
          </w:p>
        </w:tc>
      </w:tr>
      <w:tr>
        <w:tc>
          <w:tcPr>
            <w:tcW w:type="dxa" w:w="1944"/>
            <w:tcMar>
              <w:top w:w="80" w:type="dxa"/>
              <w:start w:w="80" w:type="dxa"/>
              <w:bottom w:w="80" w:type="dxa"/>
              <w:end w:w="80" w:type="dxa"/>
            </w:tcMar>
            <w:vAlign w:val="top"/>
          </w:tcPr>
          <w:p>
            <w:pPr>
              <w:keepLines/>
              <w:spacing w:after="0"/>
            </w:pPr>
            <w:r>
              <w:rPr>
                <w:sz w:val="18"/>
              </w:rPr>
              <w:t>DOCUMENTED FACT</w:t>
            </w:r>
          </w:p>
        </w:tc>
        <w:tc>
          <w:tcPr>
            <w:tcW w:type="dxa" w:w="4464"/>
            <w:tcMar>
              <w:top w:w="80" w:type="dxa"/>
              <w:start w:w="80" w:type="dxa"/>
              <w:bottom w:w="80" w:type="dxa"/>
              <w:end w:w="80" w:type="dxa"/>
            </w:tcMar>
            <w:vAlign w:val="top"/>
          </w:tcPr>
          <w:p>
            <w:pPr>
              <w:keepLines/>
              <w:spacing w:after="0"/>
            </w:pPr>
            <w:r>
              <w:rPr>
                <w:sz w:val="18"/>
              </w:rPr>
              <w:t>An original or contemporary record directly states the fact or relationship.</w:t>
            </w:r>
          </w:p>
        </w:tc>
        <w:tc>
          <w:tcPr>
            <w:tcW w:type="dxa" w:w="3888"/>
            <w:tcMar>
              <w:top w:w="80" w:type="dxa"/>
              <w:start w:w="80" w:type="dxa"/>
              <w:bottom w:w="80" w:type="dxa"/>
              <w:end w:w="80" w:type="dxa"/>
            </w:tcMar>
            <w:vAlign w:val="top"/>
          </w:tcPr>
          <w:p>
            <w:pPr>
              <w:keepLines/>
              <w:spacing w:after="0"/>
            </w:pPr>
            <w:r>
              <w:rPr>
                <w:sz w:val="18"/>
              </w:rPr>
              <w:t>May be stated plainly, with the record named.</w:t>
            </w:r>
          </w:p>
        </w:tc>
      </w:tr>
      <w:tr>
        <w:tc>
          <w:tcPr>
            <w:tcW w:type="dxa" w:w="1944"/>
            <w:tcMar>
              <w:top w:w="80" w:type="dxa"/>
              <w:start w:w="80" w:type="dxa"/>
              <w:bottom w:w="80" w:type="dxa"/>
              <w:end w:w="80" w:type="dxa"/>
            </w:tcMar>
            <w:vAlign w:val="top"/>
          </w:tcPr>
          <w:p>
            <w:pPr>
              <w:keepLines/>
              <w:spacing w:after="0"/>
            </w:pPr>
            <w:r>
              <w:rPr>
                <w:sz w:val="18"/>
              </w:rPr>
              <w:t>VERY HIGH CONFIDENCE</w:t>
            </w:r>
          </w:p>
        </w:tc>
        <w:tc>
          <w:tcPr>
            <w:tcW w:type="dxa" w:w="4464"/>
            <w:tcMar>
              <w:top w:w="80" w:type="dxa"/>
              <w:start w:w="80" w:type="dxa"/>
              <w:bottom w:w="80" w:type="dxa"/>
              <w:end w:w="80" w:type="dxa"/>
            </w:tcMar>
            <w:vAlign w:val="top"/>
          </w:tcPr>
          <w:p>
            <w:pPr>
              <w:keepLines/>
              <w:spacing w:after="0"/>
            </w:pPr>
            <w:r>
              <w:rPr>
                <w:sz w:val="18"/>
              </w:rPr>
              <w:t>Several independent records converge, but one direct naming record is still desirable.</w:t>
            </w:r>
          </w:p>
        </w:tc>
        <w:tc>
          <w:tcPr>
            <w:tcW w:type="dxa" w:w="3888"/>
            <w:tcMar>
              <w:top w:w="80" w:type="dxa"/>
              <w:start w:w="80" w:type="dxa"/>
              <w:bottom w:w="80" w:type="dxa"/>
              <w:end w:w="80" w:type="dxa"/>
            </w:tcMar>
            <w:vAlign w:val="top"/>
          </w:tcPr>
          <w:p>
            <w:pPr>
              <w:keepLines/>
              <w:spacing w:after="0"/>
            </w:pPr>
            <w:r>
              <w:rPr>
                <w:sz w:val="18"/>
              </w:rPr>
              <w:t>May be used if the remaining caveat is visible.</w:t>
            </w:r>
          </w:p>
        </w:tc>
      </w:tr>
      <w:tr>
        <w:tc>
          <w:tcPr>
            <w:tcW w:type="dxa" w:w="1944"/>
            <w:tcMar>
              <w:top w:w="80" w:type="dxa"/>
              <w:start w:w="80" w:type="dxa"/>
              <w:bottom w:w="80" w:type="dxa"/>
              <w:end w:w="80" w:type="dxa"/>
            </w:tcMar>
            <w:vAlign w:val="top"/>
          </w:tcPr>
          <w:p>
            <w:pPr>
              <w:keepLines/>
              <w:spacing w:after="0"/>
            </w:pPr>
            <w:r>
              <w:rPr>
                <w:sz w:val="18"/>
              </w:rPr>
              <w:t>STRONG INFERENCE</w:t>
            </w:r>
          </w:p>
        </w:tc>
        <w:tc>
          <w:tcPr>
            <w:tcW w:type="dxa" w:w="4464"/>
            <w:tcMar>
              <w:top w:w="80" w:type="dxa"/>
              <w:start w:w="80" w:type="dxa"/>
              <w:bottom w:w="80" w:type="dxa"/>
              <w:end w:w="80" w:type="dxa"/>
            </w:tcMar>
            <w:vAlign w:val="top"/>
          </w:tcPr>
          <w:p>
            <w:pPr>
              <w:keepLines/>
              <w:spacing w:after="0"/>
            </w:pPr>
            <w:r>
              <w:rPr>
                <w:sz w:val="18"/>
              </w:rPr>
              <w:t>The evidence fits well, but a plausible alternative remains.</w:t>
            </w:r>
          </w:p>
        </w:tc>
        <w:tc>
          <w:tcPr>
            <w:tcW w:type="dxa" w:w="3888"/>
            <w:tcMar>
              <w:top w:w="80" w:type="dxa"/>
              <w:start w:w="80" w:type="dxa"/>
              <w:bottom w:w="80" w:type="dxa"/>
              <w:end w:w="80" w:type="dxa"/>
            </w:tcMar>
            <w:vAlign w:val="top"/>
          </w:tcPr>
          <w:p>
            <w:pPr>
              <w:keepLines/>
              <w:spacing w:after="0"/>
            </w:pPr>
            <w:r>
              <w:rPr>
                <w:sz w:val="18"/>
              </w:rPr>
              <w:t>Use qualified language.</w:t>
            </w:r>
          </w:p>
        </w:tc>
      </w:tr>
      <w:tr>
        <w:tc>
          <w:tcPr>
            <w:tcW w:type="dxa" w:w="1944"/>
            <w:tcMar>
              <w:top w:w="80" w:type="dxa"/>
              <w:start w:w="80" w:type="dxa"/>
              <w:bottom w:w="80" w:type="dxa"/>
              <w:end w:w="80" w:type="dxa"/>
            </w:tcMar>
            <w:vAlign w:val="top"/>
          </w:tcPr>
          <w:p>
            <w:pPr>
              <w:keepLines/>
              <w:spacing w:after="0"/>
            </w:pPr>
            <w:r>
              <w:rPr>
                <w:sz w:val="18"/>
              </w:rPr>
              <w:t>FAMILY RECOLLECTION</w:t>
            </w:r>
          </w:p>
        </w:tc>
        <w:tc>
          <w:tcPr>
            <w:tcW w:type="dxa" w:w="4464"/>
            <w:tcMar>
              <w:top w:w="80" w:type="dxa"/>
              <w:start w:w="80" w:type="dxa"/>
              <w:bottom w:w="80" w:type="dxa"/>
              <w:end w:w="80" w:type="dxa"/>
            </w:tcMar>
            <w:vAlign w:val="top"/>
          </w:tcPr>
          <w:p>
            <w:pPr>
              <w:keepLines/>
              <w:spacing w:after="0"/>
            </w:pPr>
            <w:r>
              <w:rPr>
                <w:sz w:val="18"/>
              </w:rPr>
              <w:t>Oral/family memory, preserved with speaker and wording.</w:t>
            </w:r>
          </w:p>
        </w:tc>
        <w:tc>
          <w:tcPr>
            <w:tcW w:type="dxa" w:w="3888"/>
            <w:tcMar>
              <w:top w:w="80" w:type="dxa"/>
              <w:start w:w="80" w:type="dxa"/>
              <w:bottom w:w="80" w:type="dxa"/>
              <w:end w:w="80" w:type="dxa"/>
            </w:tcMar>
            <w:vAlign w:val="top"/>
          </w:tcPr>
          <w:p>
            <w:pPr>
              <w:keepLines/>
              <w:spacing w:after="0"/>
            </w:pPr>
            <w:r>
              <w:rPr>
                <w:sz w:val="18"/>
              </w:rPr>
              <w:t>Valuable context; do not convert into documentary fact.</w:t>
            </w:r>
          </w:p>
        </w:tc>
      </w:tr>
    </w:tbl>
    <w:p>
      <w:pPr>
        <w:spacing w:after="0"/>
      </w:pPr>
    </w:p>
    <w:p>
      <w:r>
        <w:t>The central discipline of this appendix is therefore simple: contradictions remain visible. Names are not harmonized merely because a cleaner family tree would be easier to read, and a later source is not allowed to erase an earlier record simply because the later version is more convenient.</w:t>
      </w:r>
    </w:p>
    <w:p>
      <w:pPr>
        <w:pStyle w:val="Heading1"/>
        <w:keepNext/>
      </w:pPr>
      <w:r>
        <w:t>2. Executive reconstruction</w:t>
      </w:r>
    </w:p>
    <w:tbl>
      <w:tblPr>
        <w:tblW w:type="auto" w:w="0"/>
        <w:jc w:val="center"/>
        <w:tblLayout w:type="autofit"/>
        <w:tblLook w:firstColumn="1" w:firstRow="1" w:lastColumn="0" w:lastRow="0" w:noHBand="0" w:noVBand="1" w:val="04A0"/>
      </w:tblPr>
      <w:tblGrid>
        <w:gridCol w:w="9936"/>
      </w:tblGrid>
      <w:tr>
        <w:trPr>
          <w:tblHeader w:val="true"/>
        </w:trPr>
        <w:tc>
          <w:tcPr>
            <w:tcW w:type="dxa" w:w="9936"/>
            <w:shd w:fill="D9EAF7"/>
            <w:tcMar>
              <w:top w:w="120" w:type="dxa"/>
              <w:start w:w="140" w:type="dxa"/>
              <w:bottom w:w="120" w:type="dxa"/>
              <w:end w:w="140" w:type="dxa"/>
            </w:tcMar>
          </w:tcPr>
          <w:p>
            <w:pPr>
              <w:keepLines/>
              <w:spacing w:after="0"/>
            </w:pPr>
            <w:r>
              <w:rPr>
                <w:b/>
                <w:color w:val="17365D"/>
              </w:rPr>
              <w:t>The reconstruction in one paragraph</w:t>
            </w:r>
            <w:r>
              <w:br/>
              <w:t>Edward Alfred “Ted” Davies was born in Halifax in November 1905 into the large family of carpenter Alfred Davies and Ellen Davies. His father died in 1915 and his mother in 1916, leaving him orphaned at about ten. Family memory later held that he moved among older sisters. The records now prove at least one such placement: on 1 June 1921, the fifteen-year-old recorded as Alfred Davies was living at 46 Bland Street with his older sister Alberta/Violet/Bertha, her husband Burton McKenzie, and her son Ray/Roy. The years immediately after 1916 are not yet mapped household by household, but the surviving marriages, births, directories, census records and later oral testimony reveal a close Halifax network of sisters who remained connected to Ted well into his adult life. He later became a master mariner, commanded S.S. Sarnolite during the Second World War, commodored seventeen convoys, and was appointed an Officer of the Order of the British Empire.</w:t>
            </w:r>
          </w:p>
        </w:tc>
      </w:tr>
    </w:tbl>
    <w:p>
      <w:pPr>
        <w:spacing w:after="0"/>
      </w:pPr>
    </w:p>
    <w:tbl>
      <w:tblPr>
        <w:tblStyle w:val="TableGrid"/>
        <w:tblW w:type="auto" w:w="0"/>
        <w:jc w:val="center"/>
        <w:tblLook w:firstColumn="1" w:firstRow="1" w:lastColumn="0" w:lastRow="0" w:noHBand="0" w:noVBand="1" w:val="04A0"/>
      </w:tblPr>
      <w:tblGrid>
        <w:gridCol w:w="4968"/>
        <w:gridCol w:w="4968"/>
      </w:tblGrid>
      <w:tr>
        <w:trPr>
          <w:tblHeader w:val="true"/>
        </w:trPr>
        <w:tc>
          <w:tcPr>
            <w:tcW w:type="dxa" w:w="3240"/>
            <w:shd w:fill="17365D"/>
            <w:tcMar>
              <w:top w:w="80" w:type="dxa"/>
              <w:start w:w="80" w:type="dxa"/>
              <w:bottom w:w="80" w:type="dxa"/>
              <w:end w:w="80" w:type="dxa"/>
            </w:tcMar>
          </w:tcPr>
          <w:p>
            <w:pPr>
              <w:keepLines/>
            </w:pPr>
            <w:r>
              <w:rPr>
                <w:b/>
                <w:color w:val="FFFFFF"/>
                <w:sz w:val="18"/>
              </w:rPr>
              <w:t>Question</w:t>
            </w:r>
          </w:p>
        </w:tc>
        <w:tc>
          <w:tcPr>
            <w:tcW w:type="dxa" w:w="7056"/>
            <w:shd w:fill="17365D"/>
            <w:tcMar>
              <w:top w:w="80" w:type="dxa"/>
              <w:start w:w="80" w:type="dxa"/>
              <w:bottom w:w="80" w:type="dxa"/>
              <w:end w:w="80" w:type="dxa"/>
            </w:tcMar>
          </w:tcPr>
          <w:p>
            <w:pPr>
              <w:keepLines/>
            </w:pPr>
            <w:r>
              <w:rPr>
                <w:b/>
                <w:color w:val="FFFFFF"/>
                <w:sz w:val="18"/>
              </w:rPr>
              <w:t>Current status</w:t>
            </w:r>
          </w:p>
        </w:tc>
      </w:tr>
      <w:tr>
        <w:tc>
          <w:tcPr>
            <w:tcW w:type="dxa" w:w="3240"/>
            <w:tcMar>
              <w:top w:w="80" w:type="dxa"/>
              <w:start w:w="80" w:type="dxa"/>
              <w:bottom w:w="80" w:type="dxa"/>
              <w:end w:w="80" w:type="dxa"/>
            </w:tcMar>
            <w:vAlign w:val="top"/>
          </w:tcPr>
          <w:p>
            <w:pPr>
              <w:keepLines/>
              <w:spacing w:after="0"/>
            </w:pPr>
            <w:r>
              <w:rPr>
                <w:sz w:val="18"/>
              </w:rPr>
              <w:t>Who were Ted’s parents?</w:t>
            </w:r>
          </w:p>
        </w:tc>
        <w:tc>
          <w:tcPr>
            <w:tcW w:type="dxa" w:w="7056"/>
            <w:tcMar>
              <w:top w:w="80" w:type="dxa"/>
              <w:start w:w="80" w:type="dxa"/>
              <w:bottom w:w="80" w:type="dxa"/>
              <w:end w:w="80" w:type="dxa"/>
            </w:tcMar>
            <w:vAlign w:val="top"/>
          </w:tcPr>
          <w:p>
            <w:pPr>
              <w:keepLines/>
              <w:spacing w:after="0"/>
            </w:pPr>
            <w:r>
              <w:rPr>
                <w:sz w:val="18"/>
              </w:rPr>
              <w:t>Alfred Davies and Ellen Davies — very high confidence; a direct 1905 baptism/birth image remains desirable for formal closure.</w:t>
            </w:r>
          </w:p>
        </w:tc>
      </w:tr>
      <w:tr>
        <w:tc>
          <w:tcPr>
            <w:tcW w:type="dxa" w:w="3240"/>
            <w:tcMar>
              <w:top w:w="80" w:type="dxa"/>
              <w:start w:w="80" w:type="dxa"/>
              <w:bottom w:w="80" w:type="dxa"/>
              <w:end w:w="80" w:type="dxa"/>
            </w:tcMar>
            <w:vAlign w:val="top"/>
          </w:tcPr>
          <w:p>
            <w:pPr>
              <w:keepLines/>
              <w:spacing w:after="0"/>
            </w:pPr>
            <w:r>
              <w:rPr>
                <w:sz w:val="18"/>
              </w:rPr>
              <w:t>Was Ted orphaned young?</w:t>
            </w:r>
          </w:p>
        </w:tc>
        <w:tc>
          <w:tcPr>
            <w:tcW w:type="dxa" w:w="7056"/>
            <w:tcMar>
              <w:top w:w="80" w:type="dxa"/>
              <w:start w:w="80" w:type="dxa"/>
              <w:bottom w:w="80" w:type="dxa"/>
              <w:end w:w="80" w:type="dxa"/>
            </w:tcMar>
            <w:vAlign w:val="top"/>
          </w:tcPr>
          <w:p>
            <w:pPr>
              <w:keepLines/>
              <w:spacing w:after="0"/>
            </w:pPr>
            <w:r>
              <w:rPr>
                <w:sz w:val="18"/>
              </w:rPr>
              <w:t>Yes. Father died in 1915 and mother in 1916; Ted was about ten.</w:t>
            </w:r>
          </w:p>
        </w:tc>
      </w:tr>
      <w:tr>
        <w:tc>
          <w:tcPr>
            <w:tcW w:type="dxa" w:w="3240"/>
            <w:tcMar>
              <w:top w:w="80" w:type="dxa"/>
              <w:start w:w="80" w:type="dxa"/>
              <w:bottom w:w="80" w:type="dxa"/>
              <w:end w:w="80" w:type="dxa"/>
            </w:tcMar>
            <w:vAlign w:val="top"/>
          </w:tcPr>
          <w:p>
            <w:pPr>
              <w:keepLines/>
              <w:spacing w:after="0"/>
            </w:pPr>
            <w:r>
              <w:rPr>
                <w:sz w:val="18"/>
              </w:rPr>
              <w:t>Did sisters help raise him?</w:t>
            </w:r>
          </w:p>
        </w:tc>
        <w:tc>
          <w:tcPr>
            <w:tcW w:type="dxa" w:w="7056"/>
            <w:tcMar>
              <w:top w:w="80" w:type="dxa"/>
              <w:start w:w="80" w:type="dxa"/>
              <w:bottom w:w="80" w:type="dxa"/>
              <w:end w:w="80" w:type="dxa"/>
            </w:tcMar>
            <w:vAlign w:val="top"/>
          </w:tcPr>
          <w:p>
            <w:pPr>
              <w:keepLines/>
              <w:spacing w:after="0"/>
            </w:pPr>
            <w:r>
              <w:rPr>
                <w:sz w:val="18"/>
              </w:rPr>
              <w:t>At least one sister-household placement is documented in 1921. A wider “sister to sister” pattern is family recollection, now partly corroborated.</w:t>
            </w:r>
          </w:p>
        </w:tc>
      </w:tr>
      <w:tr>
        <w:tc>
          <w:tcPr>
            <w:tcW w:type="dxa" w:w="3240"/>
            <w:tcMar>
              <w:top w:w="80" w:type="dxa"/>
              <w:start w:w="80" w:type="dxa"/>
              <w:bottom w:w="80" w:type="dxa"/>
              <w:end w:w="80" w:type="dxa"/>
            </w:tcMar>
            <w:vAlign w:val="top"/>
          </w:tcPr>
          <w:p>
            <w:pPr>
              <w:keepLines/>
              <w:spacing w:after="0"/>
            </w:pPr>
            <w:r>
              <w:rPr>
                <w:sz w:val="18"/>
              </w:rPr>
              <w:t>Which sister is documented in 1921?</w:t>
            </w:r>
          </w:p>
        </w:tc>
        <w:tc>
          <w:tcPr>
            <w:tcW w:type="dxa" w:w="7056"/>
            <w:tcMar>
              <w:top w:w="80" w:type="dxa"/>
              <w:start w:w="80" w:type="dxa"/>
              <w:bottom w:w="80" w:type="dxa"/>
              <w:end w:w="80" w:type="dxa"/>
            </w:tcMar>
            <w:vAlign w:val="top"/>
          </w:tcPr>
          <w:p>
            <w:pPr>
              <w:keepLines/>
              <w:spacing w:after="0"/>
            </w:pPr>
            <w:r>
              <w:rPr>
                <w:sz w:val="18"/>
              </w:rPr>
              <w:t>Violet Alberta Davies, later appearing as Bertha/Alberta and as Hall/McKenzie — very high confidence through the multi-record chain.</w:t>
            </w:r>
          </w:p>
        </w:tc>
      </w:tr>
      <w:tr>
        <w:tc>
          <w:tcPr>
            <w:tcW w:type="dxa" w:w="3240"/>
            <w:tcMar>
              <w:top w:w="80" w:type="dxa"/>
              <w:start w:w="80" w:type="dxa"/>
              <w:bottom w:w="80" w:type="dxa"/>
              <w:end w:w="80" w:type="dxa"/>
            </w:tcMar>
            <w:vAlign w:val="top"/>
          </w:tcPr>
          <w:p>
            <w:pPr>
              <w:keepLines/>
              <w:spacing w:after="0"/>
            </w:pPr>
            <w:r>
              <w:rPr>
                <w:sz w:val="18"/>
              </w:rPr>
              <w:t>Who had legal guardianship?</w:t>
            </w:r>
          </w:p>
        </w:tc>
        <w:tc>
          <w:tcPr>
            <w:tcW w:type="dxa" w:w="7056"/>
            <w:tcMar>
              <w:top w:w="80" w:type="dxa"/>
              <w:start w:w="80" w:type="dxa"/>
              <w:bottom w:w="80" w:type="dxa"/>
              <w:end w:w="80" w:type="dxa"/>
            </w:tcMar>
            <w:vAlign w:val="top"/>
          </w:tcPr>
          <w:p>
            <w:pPr>
              <w:keepLines/>
              <w:spacing w:after="0"/>
            </w:pPr>
            <w:r>
              <w:rPr>
                <w:sz w:val="18"/>
              </w:rPr>
              <w:t>Unknown. Probate/guardianship records remain the best unsearched source class.</w:t>
            </w:r>
          </w:p>
        </w:tc>
      </w:tr>
      <w:tr>
        <w:tc>
          <w:tcPr>
            <w:tcW w:type="dxa" w:w="3240"/>
            <w:tcMar>
              <w:top w:w="80" w:type="dxa"/>
              <w:start w:w="80" w:type="dxa"/>
              <w:bottom w:w="80" w:type="dxa"/>
              <w:end w:w="80" w:type="dxa"/>
            </w:tcMar>
            <w:vAlign w:val="top"/>
          </w:tcPr>
          <w:p>
            <w:pPr>
              <w:keepLines/>
              <w:spacing w:after="0"/>
            </w:pPr>
            <w:r>
              <w:rPr>
                <w:sz w:val="18"/>
              </w:rPr>
              <w:t>Was he a decorated wartime master?</w:t>
            </w:r>
          </w:p>
        </w:tc>
        <w:tc>
          <w:tcPr>
            <w:tcW w:type="dxa" w:w="7056"/>
            <w:tcMar>
              <w:top w:w="80" w:type="dxa"/>
              <w:start w:w="80" w:type="dxa"/>
              <w:bottom w:w="80" w:type="dxa"/>
              <w:end w:w="80" w:type="dxa"/>
            </w:tcMar>
            <w:vAlign w:val="top"/>
          </w:tcPr>
          <w:p>
            <w:pPr>
              <w:keepLines/>
              <w:spacing w:after="0"/>
            </w:pPr>
            <w:r>
              <w:rPr>
                <w:sz w:val="18"/>
              </w:rPr>
              <w:t>Yes. Canada Gazette proves the O.B.E.; Imperial Oil Review identifies him as Sarnolite master and commodore of 17 convoys.</w:t>
            </w:r>
          </w:p>
        </w:tc>
      </w:tr>
    </w:tbl>
    <w:p>
      <w:pPr>
        <w:spacing w:after="0"/>
      </w:pPr>
    </w:p>
    <w:p>
      <w:pPr>
        <w:pStyle w:val="Heading1"/>
        <w:keepNext/>
      </w:pPr>
      <w:r>
        <w:t>3. Family of origin before Ted’s birth</w:t>
      </w:r>
    </w:p>
    <w:p>
      <w:r>
        <w:t>The 1891 Halifax census is the earliest strong household-level anchor presently in the reconstruction. It places Alfred and Ellen together in Halifax with older children. Alfred is recorded as a carpenter/joiner, independently anticipating the 1916 obituary’s description of him as a “well known carpenter.” The record also indicates that older family members were born in England while a very young child was born in Nova Scotia, tightening the family’s migration window. [S1]</w:t>
      </w:r>
    </w:p>
    <w:p>
      <w:r>
        <w:t>One detail matters because it changes how the family structure should be described: the 1891 household includes a one-month-old male infant. That child does not survive into the later family narrative presently reconstructed. For that reason, Ted should not be described without qualification as Alfred and Ellen’s “only son.” The safe formulation is “their only known surviving son” unless the 1891 infant is separately resolved. [S1]</w:t>
      </w:r>
    </w:p>
    <w:p>
      <w:r>
        <w:t>Alfred’s own birthplace remains a live conflict. Contemporary census evidence favors England; a maintained family chart places him in Montgomeryshire, Wales. The appendix preserves the conflict rather than choosing one without a birth or marriage record that settles it.</w:t>
      </w:r>
    </w:p>
    <w:p>
      <w:pPr>
        <w:pStyle w:val="Heading1"/>
        <w:keepNext/>
      </w:pPr>
      <w:r>
        <w:t>4. The Davies sibling group</w:t>
      </w:r>
    </w:p>
    <w:p>
      <w:r>
        <w:t>A 1904 family photograph, annotated within the family, identifies the daughters as Lottie, Laura, Nellie, May, Florence, Bertha and Alice. Ted had not yet been born. The photograph is a family artifact rather than a civil record, but it is unusually useful because later contemporary sources reproduce much of the same sibling structure. [S2]</w:t>
      </w:r>
    </w:p>
    <w:tbl>
      <w:tblPr>
        <w:tblStyle w:val="TableGrid"/>
        <w:tblW w:type="auto" w:w="0"/>
        <w:jc w:val="center"/>
        <w:tblLook w:firstColumn="1" w:firstRow="1" w:lastColumn="0" w:lastRow="0" w:noHBand="0" w:noVBand="1" w:val="04A0"/>
      </w:tblPr>
      <w:tblGrid>
        <w:gridCol w:w="3312"/>
        <w:gridCol w:w="3312"/>
        <w:gridCol w:w="3312"/>
      </w:tblGrid>
      <w:tr>
        <w:trPr>
          <w:tblHeader w:val="true"/>
        </w:trPr>
        <w:tc>
          <w:tcPr>
            <w:tcW w:type="dxa" w:w="1944"/>
            <w:shd w:fill="17365D"/>
            <w:tcMar>
              <w:top w:w="80" w:type="dxa"/>
              <w:start w:w="80" w:type="dxa"/>
              <w:bottom w:w="80" w:type="dxa"/>
              <w:end w:w="80" w:type="dxa"/>
            </w:tcMar>
          </w:tcPr>
          <w:p>
            <w:pPr>
              <w:keepLines/>
            </w:pPr>
            <w:r>
              <w:rPr>
                <w:b/>
                <w:color w:val="FFFFFF"/>
                <w:sz w:val="17"/>
              </w:rPr>
              <w:t>Family-artifact name</w:t>
            </w:r>
          </w:p>
        </w:tc>
        <w:tc>
          <w:tcPr>
            <w:tcW w:type="dxa" w:w="2448"/>
            <w:shd w:fill="17365D"/>
            <w:tcMar>
              <w:top w:w="80" w:type="dxa"/>
              <w:start w:w="80" w:type="dxa"/>
              <w:bottom w:w="80" w:type="dxa"/>
              <w:end w:w="80" w:type="dxa"/>
            </w:tcMar>
          </w:tcPr>
          <w:p>
            <w:pPr>
              <w:keepLines/>
            </w:pPr>
            <w:r>
              <w:rPr>
                <w:b/>
                <w:color w:val="FFFFFF"/>
                <w:sz w:val="17"/>
              </w:rPr>
              <w:t>1916 obituary form</w:t>
            </w:r>
          </w:p>
        </w:tc>
        <w:tc>
          <w:tcPr>
            <w:tcW w:type="dxa" w:w="5904"/>
            <w:shd w:fill="17365D"/>
            <w:tcMar>
              <w:top w:w="80" w:type="dxa"/>
              <w:start w:w="80" w:type="dxa"/>
              <w:bottom w:w="80" w:type="dxa"/>
              <w:end w:w="80" w:type="dxa"/>
            </w:tcMar>
          </w:tcPr>
          <w:p>
            <w:pPr>
              <w:keepLines/>
            </w:pPr>
            <w:r>
              <w:rPr>
                <w:b/>
                <w:color w:val="FFFFFF"/>
                <w:sz w:val="17"/>
              </w:rPr>
              <w:t>Current note</w:t>
            </w:r>
          </w:p>
        </w:tc>
      </w:tr>
      <w:tr>
        <w:tc>
          <w:tcPr>
            <w:tcW w:type="dxa" w:w="1944"/>
            <w:tcMar>
              <w:top w:w="80" w:type="dxa"/>
              <w:start w:w="80" w:type="dxa"/>
              <w:bottom w:w="80" w:type="dxa"/>
              <w:end w:w="80" w:type="dxa"/>
            </w:tcMar>
            <w:vAlign w:val="top"/>
          </w:tcPr>
          <w:p>
            <w:pPr>
              <w:keepLines/>
              <w:spacing w:after="0"/>
            </w:pPr>
            <w:r>
              <w:rPr>
                <w:sz w:val="17"/>
              </w:rPr>
              <w:t>Lottie</w:t>
            </w:r>
          </w:p>
        </w:tc>
        <w:tc>
          <w:tcPr>
            <w:tcW w:type="dxa" w:w="2448"/>
            <w:tcMar>
              <w:top w:w="80" w:type="dxa"/>
              <w:start w:w="80" w:type="dxa"/>
              <w:bottom w:w="80" w:type="dxa"/>
              <w:end w:w="80" w:type="dxa"/>
            </w:tcMar>
            <w:vAlign w:val="top"/>
          </w:tcPr>
          <w:p>
            <w:pPr>
              <w:keepLines/>
              <w:spacing w:after="0"/>
            </w:pPr>
            <w:r>
              <w:rPr>
                <w:sz w:val="17"/>
              </w:rPr>
              <w:t>Mrs. Lottie Turner</w:t>
            </w:r>
          </w:p>
        </w:tc>
        <w:tc>
          <w:tcPr>
            <w:tcW w:type="dxa" w:w="5904"/>
            <w:tcMar>
              <w:top w:w="80" w:type="dxa"/>
              <w:start w:w="80" w:type="dxa"/>
              <w:bottom w:w="80" w:type="dxa"/>
              <w:end w:w="80" w:type="dxa"/>
            </w:tcMar>
            <w:vAlign w:val="top"/>
          </w:tcPr>
          <w:p>
            <w:pPr>
              <w:keepLines/>
              <w:spacing w:after="0"/>
            </w:pPr>
            <w:r>
              <w:rPr>
                <w:sz w:val="17"/>
              </w:rPr>
              <w:t>Strong name continuity; husband still requires primary marriage/death linkage.</w:t>
            </w:r>
          </w:p>
        </w:tc>
      </w:tr>
      <w:tr>
        <w:tc>
          <w:tcPr>
            <w:tcW w:type="dxa" w:w="1944"/>
            <w:tcMar>
              <w:top w:w="80" w:type="dxa"/>
              <w:start w:w="80" w:type="dxa"/>
              <w:bottom w:w="80" w:type="dxa"/>
              <w:end w:w="80" w:type="dxa"/>
            </w:tcMar>
            <w:vAlign w:val="top"/>
          </w:tcPr>
          <w:p>
            <w:pPr>
              <w:keepLines/>
              <w:spacing w:after="0"/>
            </w:pPr>
            <w:r>
              <w:rPr>
                <w:sz w:val="17"/>
              </w:rPr>
              <w:t>Laura</w:t>
            </w:r>
          </w:p>
        </w:tc>
        <w:tc>
          <w:tcPr>
            <w:tcW w:type="dxa" w:w="2448"/>
            <w:tcMar>
              <w:top w:w="80" w:type="dxa"/>
              <w:start w:w="80" w:type="dxa"/>
              <w:bottom w:w="80" w:type="dxa"/>
              <w:end w:w="80" w:type="dxa"/>
            </w:tcMar>
            <w:vAlign w:val="top"/>
          </w:tcPr>
          <w:p>
            <w:pPr>
              <w:keepLines/>
              <w:spacing w:after="0"/>
            </w:pPr>
            <w:r>
              <w:rPr>
                <w:sz w:val="17"/>
              </w:rPr>
              <w:t>Mrs. DuVoisin</w:t>
            </w:r>
          </w:p>
        </w:tc>
        <w:tc>
          <w:tcPr>
            <w:tcW w:type="dxa" w:w="5904"/>
            <w:tcMar>
              <w:top w:w="80" w:type="dxa"/>
              <w:start w:w="80" w:type="dxa"/>
              <w:bottom w:w="80" w:type="dxa"/>
              <w:end w:w="80" w:type="dxa"/>
            </w:tcMar>
            <w:vAlign w:val="top"/>
          </w:tcPr>
          <w:p>
            <w:pPr>
              <w:keepLines/>
              <w:spacing w:after="0"/>
            </w:pPr>
            <w:r>
              <w:rPr>
                <w:sz w:val="17"/>
              </w:rPr>
              <w:t>Strong candidate mapping; exact married-name bridge should be retained in source notes.</w:t>
            </w:r>
          </w:p>
        </w:tc>
      </w:tr>
      <w:tr>
        <w:tc>
          <w:tcPr>
            <w:tcW w:type="dxa" w:w="1944"/>
            <w:tcMar>
              <w:top w:w="80" w:type="dxa"/>
              <w:start w:w="80" w:type="dxa"/>
              <w:bottom w:w="80" w:type="dxa"/>
              <w:end w:w="80" w:type="dxa"/>
            </w:tcMar>
            <w:vAlign w:val="top"/>
          </w:tcPr>
          <w:p>
            <w:pPr>
              <w:keepLines/>
              <w:spacing w:after="0"/>
            </w:pPr>
            <w:r>
              <w:rPr>
                <w:sz w:val="17"/>
              </w:rPr>
              <w:t>Nellie</w:t>
            </w:r>
          </w:p>
        </w:tc>
        <w:tc>
          <w:tcPr>
            <w:tcW w:type="dxa" w:w="2448"/>
            <w:tcMar>
              <w:top w:w="80" w:type="dxa"/>
              <w:start w:w="80" w:type="dxa"/>
              <w:bottom w:w="80" w:type="dxa"/>
              <w:end w:w="80" w:type="dxa"/>
            </w:tcMar>
            <w:vAlign w:val="top"/>
          </w:tcPr>
          <w:p>
            <w:pPr>
              <w:keepLines/>
              <w:spacing w:after="0"/>
            </w:pPr>
            <w:r>
              <w:rPr>
                <w:sz w:val="17"/>
              </w:rPr>
              <w:t>Mrs. Kirby (candidate mapping)</w:t>
            </w:r>
          </w:p>
        </w:tc>
        <w:tc>
          <w:tcPr>
            <w:tcW w:type="dxa" w:w="5904"/>
            <w:tcMar>
              <w:top w:w="80" w:type="dxa"/>
              <w:start w:w="80" w:type="dxa"/>
              <w:bottom w:w="80" w:type="dxa"/>
              <w:end w:w="80" w:type="dxa"/>
            </w:tcMar>
            <w:vAlign w:val="top"/>
          </w:tcPr>
          <w:p>
            <w:pPr>
              <w:keepLines/>
              <w:spacing w:after="0"/>
            </w:pPr>
            <w:r>
              <w:rPr>
                <w:sz w:val="17"/>
              </w:rPr>
              <w:t>Not yet formally proven; Nellie is also strongest candidate for later Spryfield/McNeil aunt, so do not collapse identities prematurely.</w:t>
            </w:r>
          </w:p>
        </w:tc>
      </w:tr>
      <w:tr>
        <w:tc>
          <w:tcPr>
            <w:tcW w:type="dxa" w:w="1944"/>
            <w:tcMar>
              <w:top w:w="80" w:type="dxa"/>
              <w:start w:w="80" w:type="dxa"/>
              <w:bottom w:w="80" w:type="dxa"/>
              <w:end w:w="80" w:type="dxa"/>
            </w:tcMar>
            <w:vAlign w:val="top"/>
          </w:tcPr>
          <w:p>
            <w:pPr>
              <w:keepLines/>
              <w:spacing w:after="0"/>
            </w:pPr>
            <w:r>
              <w:rPr>
                <w:sz w:val="17"/>
              </w:rPr>
              <w:t>May</w:t>
            </w:r>
          </w:p>
        </w:tc>
        <w:tc>
          <w:tcPr>
            <w:tcW w:type="dxa" w:w="2448"/>
            <w:tcMar>
              <w:top w:w="80" w:type="dxa"/>
              <w:start w:w="80" w:type="dxa"/>
              <w:bottom w:w="80" w:type="dxa"/>
              <w:end w:w="80" w:type="dxa"/>
            </w:tcMar>
            <w:vAlign w:val="top"/>
          </w:tcPr>
          <w:p>
            <w:pPr>
              <w:keepLines/>
              <w:spacing w:after="0"/>
            </w:pPr>
            <w:r>
              <w:rPr>
                <w:sz w:val="17"/>
              </w:rPr>
              <w:t>Mrs. Mitchell (candidate mapping)</w:t>
            </w:r>
          </w:p>
        </w:tc>
        <w:tc>
          <w:tcPr>
            <w:tcW w:type="dxa" w:w="5904"/>
            <w:tcMar>
              <w:top w:w="80" w:type="dxa"/>
              <w:start w:w="80" w:type="dxa"/>
              <w:bottom w:w="80" w:type="dxa"/>
              <w:end w:w="80" w:type="dxa"/>
            </w:tcMar>
            <w:vAlign w:val="top"/>
          </w:tcPr>
          <w:p>
            <w:pPr>
              <w:keepLines/>
              <w:spacing w:after="0"/>
            </w:pPr>
            <w:r>
              <w:rPr>
                <w:sz w:val="17"/>
              </w:rPr>
              <w:t>Plausible ordering correspondence, not yet a direct spouse-name proof.</w:t>
            </w:r>
          </w:p>
        </w:tc>
      </w:tr>
      <w:tr>
        <w:tc>
          <w:tcPr>
            <w:tcW w:type="dxa" w:w="1944"/>
            <w:tcMar>
              <w:top w:w="80" w:type="dxa"/>
              <w:start w:w="80" w:type="dxa"/>
              <w:bottom w:w="80" w:type="dxa"/>
              <w:end w:w="80" w:type="dxa"/>
            </w:tcMar>
            <w:vAlign w:val="top"/>
          </w:tcPr>
          <w:p>
            <w:pPr>
              <w:keepLines/>
              <w:spacing w:after="0"/>
            </w:pPr>
            <w:r>
              <w:rPr>
                <w:sz w:val="17"/>
              </w:rPr>
              <w:t>Florence</w:t>
            </w:r>
          </w:p>
        </w:tc>
        <w:tc>
          <w:tcPr>
            <w:tcW w:type="dxa" w:w="2448"/>
            <w:tcMar>
              <w:top w:w="80" w:type="dxa"/>
              <w:start w:w="80" w:type="dxa"/>
              <w:bottom w:w="80" w:type="dxa"/>
              <w:end w:w="80" w:type="dxa"/>
            </w:tcMar>
            <w:vAlign w:val="top"/>
          </w:tcPr>
          <w:p>
            <w:pPr>
              <w:keepLines/>
              <w:spacing w:after="0"/>
            </w:pPr>
            <w:r>
              <w:rPr>
                <w:sz w:val="17"/>
              </w:rPr>
              <w:t>Florence</w:t>
            </w:r>
          </w:p>
        </w:tc>
        <w:tc>
          <w:tcPr>
            <w:tcW w:type="dxa" w:w="5904"/>
            <w:tcMar>
              <w:top w:w="80" w:type="dxa"/>
              <w:start w:w="80" w:type="dxa"/>
              <w:bottom w:w="80" w:type="dxa"/>
              <w:end w:w="80" w:type="dxa"/>
            </w:tcMar>
            <w:vAlign w:val="top"/>
          </w:tcPr>
          <w:p>
            <w:pPr>
              <w:keepLines/>
              <w:spacing w:after="0"/>
            </w:pPr>
            <w:r>
              <w:rPr>
                <w:sz w:val="17"/>
              </w:rPr>
              <w:t>Later appears as Florence Myrtle Davies, witness to Violet Alberta’s 1918 marriage.</w:t>
            </w:r>
          </w:p>
        </w:tc>
      </w:tr>
      <w:tr>
        <w:tc>
          <w:tcPr>
            <w:tcW w:type="dxa" w:w="1944"/>
            <w:tcMar>
              <w:top w:w="80" w:type="dxa"/>
              <w:start w:w="80" w:type="dxa"/>
              <w:bottom w:w="80" w:type="dxa"/>
              <w:end w:w="80" w:type="dxa"/>
            </w:tcMar>
            <w:vAlign w:val="top"/>
          </w:tcPr>
          <w:p>
            <w:pPr>
              <w:keepLines/>
              <w:spacing w:after="0"/>
            </w:pPr>
            <w:r>
              <w:rPr>
                <w:sz w:val="17"/>
              </w:rPr>
              <w:t>Bertha</w:t>
            </w:r>
          </w:p>
        </w:tc>
        <w:tc>
          <w:tcPr>
            <w:tcW w:type="dxa" w:w="2448"/>
            <w:tcMar>
              <w:top w:w="80" w:type="dxa"/>
              <w:start w:w="80" w:type="dxa"/>
              <w:bottom w:w="80" w:type="dxa"/>
              <w:end w:w="80" w:type="dxa"/>
            </w:tcMar>
            <w:vAlign w:val="top"/>
          </w:tcPr>
          <w:p>
            <w:pPr>
              <w:keepLines/>
              <w:spacing w:after="0"/>
            </w:pPr>
            <w:r>
              <w:rPr>
                <w:sz w:val="17"/>
              </w:rPr>
              <w:t>Bertha</w:t>
            </w:r>
          </w:p>
        </w:tc>
        <w:tc>
          <w:tcPr>
            <w:tcW w:type="dxa" w:w="5904"/>
            <w:tcMar>
              <w:top w:w="80" w:type="dxa"/>
              <w:start w:w="80" w:type="dxa"/>
              <w:bottom w:w="80" w:type="dxa"/>
              <w:end w:w="80" w:type="dxa"/>
            </w:tcMar>
            <w:vAlign w:val="top"/>
          </w:tcPr>
          <w:p>
            <w:pPr>
              <w:keepLines/>
              <w:spacing w:after="0"/>
            </w:pPr>
            <w:r>
              <w:rPr>
                <w:sz w:val="17"/>
              </w:rPr>
              <w:t>Later records indicate that the sister formally recorded as Violet Alberta also used Bertha/Alberta.</w:t>
            </w:r>
          </w:p>
        </w:tc>
      </w:tr>
      <w:tr>
        <w:tc>
          <w:tcPr>
            <w:tcW w:type="dxa" w:w="1944"/>
            <w:tcMar>
              <w:top w:w="80" w:type="dxa"/>
              <w:start w:w="80" w:type="dxa"/>
              <w:bottom w:w="80" w:type="dxa"/>
              <w:end w:w="80" w:type="dxa"/>
            </w:tcMar>
            <w:vAlign w:val="top"/>
          </w:tcPr>
          <w:p>
            <w:pPr>
              <w:keepLines/>
              <w:spacing w:after="0"/>
            </w:pPr>
            <w:r>
              <w:rPr>
                <w:sz w:val="17"/>
              </w:rPr>
              <w:t>Alice</w:t>
            </w:r>
          </w:p>
        </w:tc>
        <w:tc>
          <w:tcPr>
            <w:tcW w:type="dxa" w:w="2448"/>
            <w:tcMar>
              <w:top w:w="80" w:type="dxa"/>
              <w:start w:w="80" w:type="dxa"/>
              <w:bottom w:w="80" w:type="dxa"/>
              <w:end w:w="80" w:type="dxa"/>
            </w:tcMar>
            <w:vAlign w:val="top"/>
          </w:tcPr>
          <w:p>
            <w:pPr>
              <w:keepLines/>
              <w:spacing w:after="0"/>
            </w:pPr>
            <w:r>
              <w:rPr>
                <w:sz w:val="17"/>
              </w:rPr>
              <w:t>Not listed among survivors</w:t>
            </w:r>
          </w:p>
        </w:tc>
        <w:tc>
          <w:tcPr>
            <w:tcW w:type="dxa" w:w="5904"/>
            <w:tcMar>
              <w:top w:w="80" w:type="dxa"/>
              <w:start w:w="80" w:type="dxa"/>
              <w:bottom w:w="80" w:type="dxa"/>
              <w:end w:w="80" w:type="dxa"/>
            </w:tcMar>
            <w:vAlign w:val="top"/>
          </w:tcPr>
          <w:p>
            <w:pPr>
              <w:keepLines/>
              <w:spacing w:after="0"/>
            </w:pPr>
            <w:r>
              <w:rPr>
                <w:sz w:val="17"/>
              </w:rPr>
              <w:t>Alice died young; family/derivative record gives 1906.</w:t>
            </w:r>
          </w:p>
        </w:tc>
      </w:tr>
    </w:tbl>
    <w:p>
      <w:pPr>
        <w:spacing w:after="0"/>
      </w:pPr>
    </w:p>
    <w:p>
      <w:r>
        <w:t>This mapping is deliberately graded. The obituary’s order and the family photograph’s order align strikingly, but exact married-surname assignments should be treated as separate proof questions unless a marriage/death registration names both sides.</w:t>
      </w:r>
    </w:p>
    <w:p>
      <w:pPr>
        <w:pStyle w:val="Heading1"/>
        <w:keepNext/>
      </w:pPr>
      <w:r>
        <w:t>5. 1911: Ted still in the parental household</w:t>
      </w:r>
    </w:p>
    <w:p>
      <w:r>
        <w:t>The original 1911 census image, LAC image e001970791, places Alfred and Ellen at 92½ Pleasant Street, Halifax, with a young male son. The father is again associated with the carpenter trade. The boy’s handwritten given name is difficult enough that the census should not be made to do more than it can: it materially strengthens the parent-child reconstruction, but it does not eliminate the value of a direct baptism or birth record naming Edward/Alfred. [S3]</w:t>
      </w:r>
    </w:p>
    <w:tbl>
      <w:tblPr>
        <w:tblW w:type="auto" w:w="0"/>
        <w:jc w:val="center"/>
        <w:tblLayout w:type="autofit"/>
        <w:tblLook w:firstColumn="1" w:firstRow="1" w:lastColumn="0" w:lastRow="0" w:noHBand="0" w:noVBand="1" w:val="04A0"/>
      </w:tblPr>
      <w:tblGrid>
        <w:gridCol w:w="9936"/>
      </w:tblGrid>
      <w:tr>
        <w:trPr>
          <w:tblHeader w:val="true"/>
        </w:trPr>
        <w:tc>
          <w:tcPr>
            <w:tcW w:type="dxa" w:w="9936"/>
            <w:shd w:fill="D9EAF7"/>
            <w:tcMar>
              <w:top w:w="120" w:type="dxa"/>
              <w:start w:w="140" w:type="dxa"/>
              <w:bottom w:w="120" w:type="dxa"/>
              <w:end w:w="140" w:type="dxa"/>
            </w:tcMar>
          </w:tcPr>
          <w:p>
            <w:pPr>
              <w:keepLines/>
              <w:spacing w:after="0"/>
            </w:pPr>
            <w:r>
              <w:rPr>
                <w:b/>
                <w:color w:val="17365D"/>
              </w:rPr>
              <w:t>Why this record matters</w:t>
            </w:r>
            <w:r>
              <w:br/>
              <w:t>It closes a five-year gap between the pre-Ted family artifact and the parents’ deaths. It shows the parental household still intact in 1911 and places a young son in it, consistent with Ted’s age and later identity.</w:t>
            </w:r>
          </w:p>
        </w:tc>
      </w:tr>
    </w:tbl>
    <w:p>
      <w:pPr>
        <w:spacing w:after="0"/>
      </w:pPr>
    </w:p>
    <w:p>
      <w:pPr>
        <w:pStyle w:val="Heading1"/>
        <w:keepNext/>
      </w:pPr>
      <w:r>
        <w:t>6. 1915–1916: orphaning</w:t>
      </w:r>
    </w:p>
    <w:p>
      <w:r>
        <w:t>Alfred died in 1915. A derivative record gives 22 March 1915, but the civil death registration remains desirable for exact-date and birthplace closure. Ellen died the following year. Her July 1916 obituary is one of the most important period sources in the reconstruction: it calls her the widow of the late Alfred Davies, “the well known carpenter,” places her at 56 Tower Road, and names the surviving children Mrs. Lottie Turner, Mrs. DuVoisin, Mrs. Kirby, Mrs. Mitchell, Florence, Bertha and Alfred. [S4]</w:t>
      </w:r>
    </w:p>
    <w:p>
      <w:r>
        <w:t>The obituary’s “Alfred” is crucial. Five years later the 1921 census again records a fifteen-year-old Alfred Davies. Captain Ted’s documentary name is Edward Alfred Davies. The recurrence of Alfred in contemporary family records materially strengthens the proposition that the boy was sometimes recorded or known by his second given name.</w:t>
      </w:r>
    </w:p>
    <w:p>
      <w:r>
        <w:t>If Ted was born 6 November 1905, he was nine when his father died and about ten when his mother died. Family recollections that he was orphaned around nine or ten are therefore chronologically sound even though the exact custody arrangement remains unknown.</w:t>
      </w:r>
    </w:p>
    <w:p>
      <w:pPr>
        <w:pStyle w:val="Heading1"/>
      </w:pPr>
      <w:r>
        <w:t>6A. Halifax in the Crucible: The World Ted Inherited, 1914–1921</w:t>
      </w:r>
    </w:p>
    <w:p>
      <w:pPr/>
      <w:r>
        <w:t>Historical context, not reconstructed memory. We know the city Ted lived in and the events that transformed it. We do not yet know exactly where he was living for much of 1916–1920, where he stood during the Halifax Explosion, or what he personally saw and felt. The distinction is intentional.</w:t>
      </w:r>
    </w:p>
    <w:p>
      <w:pPr>
        <w:pStyle w:val="Heading2"/>
      </w:pPr>
      <w:r>
        <w:t>War comes to the harbour</w:t>
      </w:r>
    </w:p>
    <w:p>
      <w:pPr/>
      <w:r>
        <w:t>Ted was eight when the First World War began in August 1914 and turned nine that November. Halifax became a centre of Canadian wartime shipping, crowded with troop movements, naval activity and merchant traffic. By 1917, as German U-boat losses mounted, merchant ships were gathering into escorted convoys; the Canadian War Museum describes scenes in Bedford Basin in which ships formed up every few days, some wearing the jagged “dazzle” camouflage intended to complicate submarine targeting. [S17]</w:t>
      </w:r>
    </w:p>
    <w:p>
      <w:pPr/>
      <w:r>
        <w:t>That chronology matters. The convoy-and-dazzle image belongs primarily to 1917 onward, not to the first years of the war. It also overlapped with a much more intimate collapse in Ted’s life. Alfred died in 1915. Ellen followed in 1916. At about ten years old, Ted lost both parents while the port around him was being reorganized for industrial war. We should not invent what that felt like or assume who immediately took him in; the records only allow us to say that the stable parental household documented in 1911 was gone.</w:t>
      </w:r>
    </w:p>
    <w:p>
      <w:pPr>
        <w:pStyle w:val="Heading2"/>
      </w:pPr>
      <w:r>
        <w:t>6 December 1917</w:t>
      </w:r>
    </w:p>
    <w:p>
      <w:pPr/>
      <w:r>
        <w:t>Ted was twelve when the French munitions ship Mont-Blanc and the Norwegian vessel Imo collided in Halifax Harbour. At about 9:05 a.m., Mont-Blanc exploded. Parks Canada records roughly 2,000 deaths, thousands of injuries, widespread destruction, fires and a tidal wave; a major snowstorm the next day hampered rescue and relief. [S16]</w:t>
      </w:r>
    </w:p>
    <w:p>
      <w:pPr/>
      <w:r>
        <w:t>For this family history, the most responsible sentence is also the simplest: we do not yet know where Ted was living that morning. We therefore cannot place him in a particular damaged house, assign him an injury, or describe his psychological response. But a twelve-year-old living somewhere in Halifax was growing up inside a city whose physical and social landscape had been violently altered.</w:t>
      </w:r>
    </w:p>
    <w:p>
      <w:pPr>
        <w:pStyle w:val="Heading2"/>
      </w:pPr>
      <w:r>
        <w:t>Reconstruction, influenza and 1921</w:t>
      </w:r>
    </w:p>
    <w:p>
      <w:pPr/>
      <w:r>
        <w:t>The city had barely begun to rebuild when the 1918 influenza pandemic arrived. Halifax and Dartmouth closed or restricted schools, churches, theatres and other gathering places during the October outbreak, while hospitals and temporary facilities treated influenza patients in a city still dealing with Explosion reconstruction. [S18] Rebuilding continued through the early post-war period, including the Relief Commission’s work in the devastated North End and the Hydrostone development. A Halifax Municipal Archives historical review notes that Halifax’s short post-war prosperity broke sharply in 1921 as the city entered a deep economic downturn. [S19]</w:t>
      </w:r>
    </w:p>
    <w:p>
      <w:pPr/>
      <w:r>
        <w:t>That is the larger setting for the 1 June 1921 census. When the record finally catches Ted again at fifteen, he is not in his parents’ household but at 46 Bland Street with his sister’s family. The census gives us the household. Halifax’s wartime and post-disaster history gives us the world around it.</w:t>
      </w:r>
    </w:p>
    <w:p>
      <w:pPr>
        <w:pStyle w:val="Heading2"/>
      </w:pPr>
      <w:r>
        <w:t>The pull of the tide</w:t>
      </w:r>
    </w:p>
    <w:p>
      <w:pPr/>
      <w:r>
        <w:t>Ted’s later maritime career should not be explained away as an inevitable product of these events. We do not have evidence that the Explosion, the convoys or any single childhood experience caused him to go to sea. The historical continuity is nevertheless striking: he came of age in a port where ocean shipping, convoy organization and the U-boat threat had become visible parts of civic life, and by the Second World War he was himself a merchant master trusted to commodore convoys through submarine-threatened waters.</w:t>
      </w:r>
    </w:p>
    <w:p>
      <w:pPr/>
      <w:r>
        <w:t>That is as far as the evidence should take us. It does not give us Ted’s private memories of 1917. It does give us a clearer understanding of the Halifax adolescence from which Captain Edward Alfred Davies eventually emerged. [S16–S19]</w:t>
      </w:r>
    </w:p>
    <w:p>
      <w:pPr>
        <w:pStyle w:val="Heading1"/>
        <w:keepNext/>
      </w:pPr>
      <w:r>
        <w:t>7. The older-sister support network</w:t>
      </w:r>
    </w:p>
    <w:p>
      <w:r>
        <w:t>The strongest advance of the August 2026 research was not a single “guardian” document. It was the recovery of a network: older sisters marrying, witnessing one another’s records, sharing or reappearing at the same addresses, and remaining close enough that later generations remembered regular visits.</w:t>
      </w:r>
    </w:p>
    <w:tbl>
      <w:tblPr>
        <w:tblStyle w:val="TableGrid"/>
        <w:tblW w:type="auto" w:w="0"/>
        <w:jc w:val="center"/>
        <w:tblLook w:firstColumn="1" w:firstRow="1" w:lastColumn="0" w:lastRow="0" w:noHBand="0" w:noVBand="1" w:val="04A0"/>
      </w:tblPr>
      <w:tblGrid>
        <w:gridCol w:w="3312"/>
        <w:gridCol w:w="3312"/>
        <w:gridCol w:w="3312"/>
      </w:tblGrid>
      <w:tr>
        <w:trPr>
          <w:tblHeader w:val="true"/>
        </w:trPr>
        <w:tc>
          <w:tcPr>
            <w:tcW w:type="dxa" w:w="1512"/>
            <w:shd w:fill="17365D"/>
            <w:tcMar>
              <w:top w:w="80" w:type="dxa"/>
              <w:start w:w="80" w:type="dxa"/>
              <w:bottom w:w="80" w:type="dxa"/>
              <w:end w:w="80" w:type="dxa"/>
            </w:tcMar>
          </w:tcPr>
          <w:p>
            <w:pPr>
              <w:keepLines/>
            </w:pPr>
            <w:r>
              <w:rPr>
                <w:b/>
                <w:color w:val="FFFFFF"/>
                <w:sz w:val="16"/>
              </w:rPr>
              <w:t>Date</w:t>
            </w:r>
          </w:p>
        </w:tc>
        <w:tc>
          <w:tcPr>
            <w:tcW w:type="dxa" w:w="3168"/>
            <w:shd w:fill="17365D"/>
            <w:tcMar>
              <w:top w:w="80" w:type="dxa"/>
              <w:start w:w="80" w:type="dxa"/>
              <w:bottom w:w="80" w:type="dxa"/>
              <w:end w:w="80" w:type="dxa"/>
            </w:tcMar>
          </w:tcPr>
          <w:p>
            <w:pPr>
              <w:keepLines/>
            </w:pPr>
            <w:r>
              <w:rPr>
                <w:b/>
                <w:color w:val="FFFFFF"/>
                <w:sz w:val="16"/>
              </w:rPr>
              <w:t>Record</w:t>
            </w:r>
          </w:p>
        </w:tc>
        <w:tc>
          <w:tcPr>
            <w:tcW w:type="dxa" w:w="5760"/>
            <w:shd w:fill="17365D"/>
            <w:tcMar>
              <w:top w:w="80" w:type="dxa"/>
              <w:start w:w="80" w:type="dxa"/>
              <w:bottom w:w="80" w:type="dxa"/>
              <w:end w:w="80" w:type="dxa"/>
            </w:tcMar>
          </w:tcPr>
          <w:p>
            <w:pPr>
              <w:keepLines/>
            </w:pPr>
            <w:r>
              <w:rPr>
                <w:b/>
                <w:color w:val="FFFFFF"/>
                <w:sz w:val="16"/>
              </w:rPr>
              <w:t>What it contributes</w:t>
            </w:r>
          </w:p>
        </w:tc>
      </w:tr>
      <w:tr>
        <w:tc>
          <w:tcPr>
            <w:tcW w:type="dxa" w:w="1512"/>
            <w:tcMar>
              <w:top w:w="80" w:type="dxa"/>
              <w:start w:w="80" w:type="dxa"/>
              <w:bottom w:w="80" w:type="dxa"/>
              <w:end w:w="80" w:type="dxa"/>
            </w:tcMar>
            <w:vAlign w:val="top"/>
          </w:tcPr>
          <w:p>
            <w:pPr>
              <w:keepLines/>
              <w:spacing w:after="0"/>
            </w:pPr>
            <w:r>
              <w:rPr>
                <w:sz w:val="16"/>
              </w:rPr>
              <w:t>7 Feb 1918</w:t>
            </w:r>
          </w:p>
        </w:tc>
        <w:tc>
          <w:tcPr>
            <w:tcW w:type="dxa" w:w="3168"/>
            <w:tcMar>
              <w:top w:w="80" w:type="dxa"/>
              <w:start w:w="80" w:type="dxa"/>
              <w:bottom w:w="80" w:type="dxa"/>
              <w:end w:w="80" w:type="dxa"/>
            </w:tcMar>
            <w:vAlign w:val="top"/>
          </w:tcPr>
          <w:p>
            <w:pPr>
              <w:keepLines/>
              <w:spacing w:after="0"/>
            </w:pPr>
            <w:r>
              <w:rPr>
                <w:sz w:val="16"/>
              </w:rPr>
              <w:t>Violet Alberta Davies marries Charles Michael Hall</w:t>
            </w:r>
          </w:p>
        </w:tc>
        <w:tc>
          <w:tcPr>
            <w:tcW w:type="dxa" w:w="5760"/>
            <w:tcMar>
              <w:top w:w="80" w:type="dxa"/>
              <w:start w:w="80" w:type="dxa"/>
              <w:bottom w:w="80" w:type="dxa"/>
              <w:end w:w="80" w:type="dxa"/>
            </w:tcMar>
            <w:vAlign w:val="top"/>
          </w:tcPr>
          <w:p>
            <w:pPr>
              <w:keepLines/>
              <w:spacing w:after="0"/>
            </w:pPr>
            <w:r>
              <w:rPr>
                <w:sz w:val="16"/>
              </w:rPr>
              <w:t>Names parents Alfred and Ellen as deceased; father a carpenter; Florence Myrtle Davies is witness. [S5]</w:t>
            </w:r>
          </w:p>
        </w:tc>
      </w:tr>
      <w:tr>
        <w:tc>
          <w:tcPr>
            <w:tcW w:type="dxa" w:w="1512"/>
            <w:tcMar>
              <w:top w:w="80" w:type="dxa"/>
              <w:start w:w="80" w:type="dxa"/>
              <w:bottom w:w="80" w:type="dxa"/>
              <w:end w:w="80" w:type="dxa"/>
            </w:tcMar>
            <w:vAlign w:val="top"/>
          </w:tcPr>
          <w:p>
            <w:pPr>
              <w:keepLines/>
              <w:spacing w:after="0"/>
            </w:pPr>
            <w:r>
              <w:rPr>
                <w:sz w:val="16"/>
              </w:rPr>
              <w:t>15 Aug 1919</w:t>
            </w:r>
          </w:p>
        </w:tc>
        <w:tc>
          <w:tcPr>
            <w:tcW w:type="dxa" w:w="3168"/>
            <w:tcMar>
              <w:top w:w="80" w:type="dxa"/>
              <w:start w:w="80" w:type="dxa"/>
              <w:bottom w:w="80" w:type="dxa"/>
              <w:end w:w="80" w:type="dxa"/>
            </w:tcMar>
            <w:vAlign w:val="top"/>
          </w:tcPr>
          <w:p>
            <w:pPr>
              <w:keepLines/>
              <w:spacing w:after="0"/>
            </w:pPr>
            <w:r>
              <w:rPr>
                <w:sz w:val="16"/>
              </w:rPr>
              <w:t>Roy Albert Hall birth</w:t>
            </w:r>
          </w:p>
        </w:tc>
        <w:tc>
          <w:tcPr>
            <w:tcW w:type="dxa" w:w="5760"/>
            <w:tcMar>
              <w:top w:w="80" w:type="dxa"/>
              <w:start w:w="80" w:type="dxa"/>
              <w:bottom w:w="80" w:type="dxa"/>
              <w:end w:w="80" w:type="dxa"/>
            </w:tcMar>
            <w:vAlign w:val="top"/>
          </w:tcPr>
          <w:p>
            <w:pPr>
              <w:keepLines/>
              <w:spacing w:after="0"/>
            </w:pPr>
            <w:r>
              <w:rPr>
                <w:sz w:val="16"/>
              </w:rPr>
              <w:t>Names father Charles M. Hall and mother Violet B. Davies; address 25 Wellington Street. [S6]</w:t>
            </w:r>
          </w:p>
        </w:tc>
      </w:tr>
      <w:tr>
        <w:tc>
          <w:tcPr>
            <w:tcW w:type="dxa" w:w="1512"/>
            <w:tcMar>
              <w:top w:w="80" w:type="dxa"/>
              <w:start w:w="80" w:type="dxa"/>
              <w:bottom w:w="80" w:type="dxa"/>
              <w:end w:w="80" w:type="dxa"/>
            </w:tcMar>
            <w:vAlign w:val="top"/>
          </w:tcPr>
          <w:p>
            <w:pPr>
              <w:keepLines/>
              <w:spacing w:after="0"/>
            </w:pPr>
            <w:r>
              <w:rPr>
                <w:sz w:val="16"/>
              </w:rPr>
              <w:t>1919–20</w:t>
            </w:r>
          </w:p>
        </w:tc>
        <w:tc>
          <w:tcPr>
            <w:tcW w:type="dxa" w:w="3168"/>
            <w:tcMar>
              <w:top w:w="80" w:type="dxa"/>
              <w:start w:w="80" w:type="dxa"/>
              <w:bottom w:w="80" w:type="dxa"/>
              <w:end w:w="80" w:type="dxa"/>
            </w:tcMar>
            <w:vAlign w:val="top"/>
          </w:tcPr>
          <w:p>
            <w:pPr>
              <w:keepLines/>
              <w:spacing w:after="0"/>
            </w:pPr>
            <w:r>
              <w:rPr>
                <w:sz w:val="16"/>
              </w:rPr>
              <w:t>McAlpine directory</w:t>
            </w:r>
          </w:p>
        </w:tc>
        <w:tc>
          <w:tcPr>
            <w:tcW w:type="dxa" w:w="5760"/>
            <w:tcMar>
              <w:top w:w="80" w:type="dxa"/>
              <w:start w:w="80" w:type="dxa"/>
              <w:bottom w:w="80" w:type="dxa"/>
              <w:end w:w="80" w:type="dxa"/>
            </w:tcMar>
            <w:vAlign w:val="top"/>
          </w:tcPr>
          <w:p>
            <w:pPr>
              <w:keepLines/>
              <w:spacing w:after="0"/>
            </w:pPr>
            <w:r>
              <w:rPr>
                <w:sz w:val="16"/>
              </w:rPr>
              <w:t>“Hall, Bertha” at 25 Wellington — strong evidence that Violet/Bertha naming variation is not a later invention. [S7]</w:t>
            </w:r>
          </w:p>
        </w:tc>
      </w:tr>
      <w:tr>
        <w:tc>
          <w:tcPr>
            <w:tcW w:type="dxa" w:w="1512"/>
            <w:tcMar>
              <w:top w:w="80" w:type="dxa"/>
              <w:start w:w="80" w:type="dxa"/>
              <w:bottom w:w="80" w:type="dxa"/>
              <w:end w:w="80" w:type="dxa"/>
            </w:tcMar>
            <w:vAlign w:val="top"/>
          </w:tcPr>
          <w:p>
            <w:pPr>
              <w:keepLines/>
              <w:spacing w:after="0"/>
            </w:pPr>
            <w:r>
              <w:rPr>
                <w:sz w:val="16"/>
              </w:rPr>
              <w:t>1920–21</w:t>
            </w:r>
          </w:p>
        </w:tc>
        <w:tc>
          <w:tcPr>
            <w:tcW w:type="dxa" w:w="3168"/>
            <w:tcMar>
              <w:top w:w="80" w:type="dxa"/>
              <w:start w:w="80" w:type="dxa"/>
              <w:bottom w:w="80" w:type="dxa"/>
              <w:end w:w="80" w:type="dxa"/>
            </w:tcMar>
            <w:vAlign w:val="top"/>
          </w:tcPr>
          <w:p>
            <w:pPr>
              <w:keepLines/>
              <w:spacing w:after="0"/>
            </w:pPr>
            <w:r>
              <w:rPr>
                <w:sz w:val="16"/>
              </w:rPr>
              <w:t>McAlpine directory</w:t>
            </w:r>
          </w:p>
        </w:tc>
        <w:tc>
          <w:tcPr>
            <w:tcW w:type="dxa" w:w="5760"/>
            <w:tcMar>
              <w:top w:w="80" w:type="dxa"/>
              <w:start w:w="80" w:type="dxa"/>
              <w:bottom w:w="80" w:type="dxa"/>
              <w:end w:w="80" w:type="dxa"/>
            </w:tcMar>
            <w:vAlign w:val="top"/>
          </w:tcPr>
          <w:p>
            <w:pPr>
              <w:keepLines/>
              <w:spacing w:after="0"/>
            </w:pPr>
            <w:r>
              <w:rPr>
                <w:sz w:val="16"/>
              </w:rPr>
              <w:t>Burton MacKenzie, chauffeur, boards at 25 Wellington. [S7]</w:t>
            </w:r>
          </w:p>
        </w:tc>
      </w:tr>
      <w:tr>
        <w:tc>
          <w:tcPr>
            <w:tcW w:type="dxa" w:w="1512"/>
            <w:tcMar>
              <w:top w:w="80" w:type="dxa"/>
              <w:start w:w="80" w:type="dxa"/>
              <w:bottom w:w="80" w:type="dxa"/>
              <w:end w:w="80" w:type="dxa"/>
            </w:tcMar>
            <w:vAlign w:val="top"/>
          </w:tcPr>
          <w:p>
            <w:pPr>
              <w:keepLines/>
              <w:spacing w:after="0"/>
            </w:pPr>
            <w:r>
              <w:rPr>
                <w:sz w:val="16"/>
              </w:rPr>
              <w:t>23 Nov 1920</w:t>
            </w:r>
          </w:p>
        </w:tc>
        <w:tc>
          <w:tcPr>
            <w:tcW w:type="dxa" w:w="3168"/>
            <w:tcMar>
              <w:top w:w="80" w:type="dxa"/>
              <w:start w:w="80" w:type="dxa"/>
              <w:bottom w:w="80" w:type="dxa"/>
              <w:end w:w="80" w:type="dxa"/>
            </w:tcMar>
            <w:vAlign w:val="top"/>
          </w:tcPr>
          <w:p>
            <w:pPr>
              <w:keepLines/>
              <w:spacing w:after="0"/>
            </w:pPr>
            <w:r>
              <w:rPr>
                <w:sz w:val="16"/>
              </w:rPr>
              <w:t>Burton Ronald McKenzie marries Violet Alice Hall</w:t>
            </w:r>
          </w:p>
        </w:tc>
        <w:tc>
          <w:tcPr>
            <w:tcW w:type="dxa" w:w="5760"/>
            <w:tcMar>
              <w:top w:w="80" w:type="dxa"/>
              <w:start w:w="80" w:type="dxa"/>
              <w:bottom w:w="80" w:type="dxa"/>
              <w:end w:w="80" w:type="dxa"/>
            </w:tcMar>
            <w:vAlign w:val="top"/>
          </w:tcPr>
          <w:p>
            <w:pPr>
              <w:keepLines/>
              <w:spacing w:after="0"/>
            </w:pPr>
            <w:r>
              <w:rPr>
                <w:sz w:val="16"/>
              </w:rPr>
              <w:t>Creates the Hall→McKenzie bridge, while preserving serious contradictory fields. [S8]</w:t>
            </w:r>
          </w:p>
        </w:tc>
      </w:tr>
      <w:tr>
        <w:tc>
          <w:tcPr>
            <w:tcW w:type="dxa" w:w="1512"/>
            <w:tcMar>
              <w:top w:w="80" w:type="dxa"/>
              <w:start w:w="80" w:type="dxa"/>
              <w:bottom w:w="80" w:type="dxa"/>
              <w:end w:w="80" w:type="dxa"/>
            </w:tcMar>
            <w:vAlign w:val="top"/>
          </w:tcPr>
          <w:p>
            <w:pPr>
              <w:keepLines/>
              <w:spacing w:after="0"/>
            </w:pPr>
            <w:r>
              <w:rPr>
                <w:sz w:val="16"/>
              </w:rPr>
              <w:t>1 Jun 1921</w:t>
            </w:r>
          </w:p>
        </w:tc>
        <w:tc>
          <w:tcPr>
            <w:tcW w:type="dxa" w:w="3168"/>
            <w:tcMar>
              <w:top w:w="80" w:type="dxa"/>
              <w:start w:w="80" w:type="dxa"/>
              <w:bottom w:w="80" w:type="dxa"/>
              <w:end w:w="80" w:type="dxa"/>
            </w:tcMar>
            <w:vAlign w:val="top"/>
          </w:tcPr>
          <w:p>
            <w:pPr>
              <w:keepLines/>
              <w:spacing w:after="0"/>
            </w:pPr>
            <w:r>
              <w:rPr>
                <w:sz w:val="16"/>
              </w:rPr>
              <w:t>Census, 46 Bland Street</w:t>
            </w:r>
          </w:p>
        </w:tc>
        <w:tc>
          <w:tcPr>
            <w:tcW w:type="dxa" w:w="5760"/>
            <w:tcMar>
              <w:top w:w="80" w:type="dxa"/>
              <w:start w:w="80" w:type="dxa"/>
              <w:bottom w:w="80" w:type="dxa"/>
              <w:end w:w="80" w:type="dxa"/>
            </w:tcMar>
            <w:vAlign w:val="top"/>
          </w:tcPr>
          <w:p>
            <w:pPr>
              <w:keepLines/>
              <w:spacing w:after="0"/>
            </w:pPr>
            <w:r>
              <w:rPr>
                <w:sz w:val="16"/>
              </w:rPr>
              <w:t>Burton + Alberta + Ray + Alfred Davies, 15, brother-in-law. [S9]</w:t>
            </w:r>
          </w:p>
        </w:tc>
      </w:tr>
      <w:tr>
        <w:tc>
          <w:tcPr>
            <w:tcW w:type="dxa" w:w="1512"/>
            <w:tcMar>
              <w:top w:w="80" w:type="dxa"/>
              <w:start w:w="80" w:type="dxa"/>
              <w:bottom w:w="80" w:type="dxa"/>
              <w:end w:w="80" w:type="dxa"/>
            </w:tcMar>
            <w:vAlign w:val="top"/>
          </w:tcPr>
          <w:p>
            <w:pPr>
              <w:keepLines/>
              <w:spacing w:after="0"/>
            </w:pPr>
            <w:r>
              <w:rPr>
                <w:sz w:val="16"/>
              </w:rPr>
              <w:t>25 Jun 1921</w:t>
            </w:r>
          </w:p>
        </w:tc>
        <w:tc>
          <w:tcPr>
            <w:tcW w:type="dxa" w:w="3168"/>
            <w:tcMar>
              <w:top w:w="80" w:type="dxa"/>
              <w:start w:w="80" w:type="dxa"/>
              <w:bottom w:w="80" w:type="dxa"/>
              <w:end w:w="80" w:type="dxa"/>
            </w:tcMar>
            <w:vAlign w:val="top"/>
          </w:tcPr>
          <w:p>
            <w:pPr>
              <w:keepLines/>
              <w:spacing w:after="0"/>
            </w:pPr>
            <w:r>
              <w:rPr>
                <w:sz w:val="16"/>
              </w:rPr>
              <w:t>Ronald Edward McKenzie birth</w:t>
            </w:r>
          </w:p>
        </w:tc>
        <w:tc>
          <w:tcPr>
            <w:tcW w:type="dxa" w:w="5760"/>
            <w:tcMar>
              <w:top w:w="80" w:type="dxa"/>
              <w:start w:w="80" w:type="dxa"/>
              <w:bottom w:w="80" w:type="dxa"/>
              <w:end w:w="80" w:type="dxa"/>
            </w:tcMar>
            <w:vAlign w:val="top"/>
          </w:tcPr>
          <w:p>
            <w:pPr>
              <w:keepLines/>
              <w:spacing w:after="0"/>
            </w:pPr>
            <w:r>
              <w:rPr>
                <w:sz w:val="16"/>
              </w:rPr>
              <w:t>Names Burton Ronald + Violet Alice Hall; Ronald is her second living child. [S10]</w:t>
            </w:r>
          </w:p>
        </w:tc>
      </w:tr>
      <w:tr>
        <w:tc>
          <w:tcPr>
            <w:tcW w:type="dxa" w:w="1512"/>
            <w:tcMar>
              <w:top w:w="80" w:type="dxa"/>
              <w:start w:w="80" w:type="dxa"/>
              <w:bottom w:w="80" w:type="dxa"/>
              <w:end w:w="80" w:type="dxa"/>
            </w:tcMar>
            <w:vAlign w:val="top"/>
          </w:tcPr>
          <w:p>
            <w:pPr>
              <w:keepLines/>
              <w:spacing w:after="0"/>
            </w:pPr>
            <w:r>
              <w:rPr>
                <w:sz w:val="16"/>
              </w:rPr>
              <w:t>1931</w:t>
            </w:r>
          </w:p>
        </w:tc>
        <w:tc>
          <w:tcPr>
            <w:tcW w:type="dxa" w:w="3168"/>
            <w:tcMar>
              <w:top w:w="80" w:type="dxa"/>
              <w:start w:w="80" w:type="dxa"/>
              <w:bottom w:w="80" w:type="dxa"/>
              <w:end w:w="80" w:type="dxa"/>
            </w:tcMar>
            <w:vAlign w:val="top"/>
          </w:tcPr>
          <w:p>
            <w:pPr>
              <w:keepLines/>
              <w:spacing w:after="0"/>
            </w:pPr>
            <w:r>
              <w:rPr>
                <w:sz w:val="16"/>
              </w:rPr>
              <w:t>Census</w:t>
            </w:r>
          </w:p>
        </w:tc>
        <w:tc>
          <w:tcPr>
            <w:tcW w:type="dxa" w:w="5760"/>
            <w:tcMar>
              <w:top w:w="80" w:type="dxa"/>
              <w:start w:w="80" w:type="dxa"/>
              <w:bottom w:w="80" w:type="dxa"/>
              <w:end w:w="80" w:type="dxa"/>
            </w:tcMar>
            <w:vAlign w:val="top"/>
          </w:tcPr>
          <w:p>
            <w:pPr>
              <w:keepLines/>
              <w:spacing w:after="0"/>
            </w:pPr>
            <w:r>
              <w:rPr>
                <w:sz w:val="16"/>
              </w:rPr>
              <w:t>Bert/Burton + Bertha with Roy and Ronald; age sequence matches the 1919/1921 births. [S11]</w:t>
            </w:r>
          </w:p>
        </w:tc>
      </w:tr>
    </w:tbl>
    <w:p>
      <w:pPr>
        <w:spacing w:after="0"/>
      </w:pPr>
    </w:p>
    <w:p>
      <w:r>
        <w:t>Taken together, these records transform “sister to sister” from an unsupported family phrase into a plausible reconstruction with at least one hard residential anchor. They still do not prove that Ted moved in a specific sequence or that any particular sister held legal guardianship.</w:t>
      </w:r>
    </w:p>
    <w:p>
      <w:pPr>
        <w:pStyle w:val="Heading1"/>
        <w:keepNext/>
      </w:pPr>
      <w:r>
        <w:t>8. Violet Alberta (“Bertha” / “Alberta”) Davies: the Hall → McKenzie chain</w:t>
      </w:r>
    </w:p>
    <w:p>
      <w:r>
        <w:t>This is the most complex identity chain in the appendix and should be preserved in detail because it explains the 1921 sister-household record.</w:t>
      </w:r>
    </w:p>
    <w:p>
      <w:pPr>
        <w:pStyle w:val="Heading2"/>
        <w:keepNext/>
      </w:pPr>
      <w:r>
        <w:t>8.1 The 1918 marriage</w:t>
      </w:r>
    </w:p>
    <w:p>
      <w:r>
        <w:t>On 7 February 1918, Violet Alberta Davies, age 17, single, Church of England, born in Halifax, married Charles Michael Hall. Her parents are recorded as Alfred Davies and Ellen Davies, both deceased; her father’s occupation is carpenter. Florence Myrtle Davies witnessed the marriage. Violet signed her own name. [S5]</w:t>
      </w:r>
    </w:p>
    <w:p>
      <w:r>
        <w:t>This is a direct parent-naming primary record for one of Ted’s sisters and places Florence in close contact with her immediately after the parents’ deaths.</w:t>
      </w:r>
    </w:p>
    <w:p>
      <w:pPr>
        <w:pStyle w:val="Heading2"/>
        <w:keepNext/>
      </w:pPr>
      <w:r>
        <w:t>8.2 Roy’s 1919 birth and the 25 Wellington address</w:t>
      </w:r>
    </w:p>
    <w:p>
      <w:r>
        <w:t>Roy Albert Hall was born in Halifax on 15 August 1919. The registration names Charles M. Hall as father and “Davies, Violet B.” as mother, with residence 25 Wellington Street. Mrs. Violet Hall made the return. [S6]</w:t>
      </w:r>
    </w:p>
    <w:p>
      <w:r>
        <w:t>The middle initial “B.” is not expanded by the record and should not be invented. It is nevertheless notable beside the directory’s “Bertha Hall” at the same address and the later McKenzie census name Bertha. The safest conclusion is that this woman used several given-name forms across records.</w:t>
      </w:r>
    </w:p>
    <w:p>
      <w:pPr>
        <w:pStyle w:val="Heading2"/>
        <w:keepNext/>
      </w:pPr>
      <w:r>
        <w:t>8.3 The 1920 McKenzie marriage — accepted, but not cleaned up</w:t>
      </w:r>
    </w:p>
    <w:p>
      <w:r>
        <w:t>On 23 November 1920, Burton Ronald McKenzie, a 21-year-old chauffeur, married Violet Alice Hall. The registration contains fields that conflict with the 1918 marriage: Violet is marked “spinster,” her birthplace appears as Windsor rather than Halifax, and her father appears as Alfred Hall rather than Alfred Davies; the mother is Ellen Davis. [S8]</w:t>
      </w:r>
    </w:p>
    <w:tbl>
      <w:tblPr>
        <w:tblW w:type="auto" w:w="0"/>
        <w:jc w:val="center"/>
        <w:tblLayout w:type="autofit"/>
        <w:tblLook w:firstColumn="1" w:firstRow="1" w:lastColumn="0" w:lastRow="0" w:noHBand="0" w:noVBand="1" w:val="04A0"/>
      </w:tblPr>
      <w:tblGrid>
        <w:gridCol w:w="9936"/>
      </w:tblGrid>
      <w:tr>
        <w:trPr>
          <w:tblHeader w:val="true"/>
        </w:trPr>
        <w:tc>
          <w:tcPr>
            <w:tcW w:type="dxa" w:w="9936"/>
            <w:shd w:fill="D9EAF7"/>
            <w:tcMar>
              <w:top w:w="120" w:type="dxa"/>
              <w:start w:w="140" w:type="dxa"/>
              <w:bottom w:w="120" w:type="dxa"/>
              <w:end w:w="140" w:type="dxa"/>
            </w:tcMar>
          </w:tcPr>
          <w:p>
            <w:pPr>
              <w:keepLines/>
              <w:spacing w:after="0"/>
            </w:pPr>
            <w:r>
              <w:rPr>
                <w:b/>
                <w:color w:val="17365D"/>
              </w:rPr>
              <w:t>Critical evidence rule</w:t>
            </w:r>
            <w:r>
              <w:br/>
              <w:t>The project does not erase these contradictions. The identification is accepted because the surrounding residence, child, occupation, census and later family sequence is unusually dense — not because the conflicting fields were silently corrected.</w:t>
            </w:r>
          </w:p>
        </w:tc>
      </w:tr>
    </w:tbl>
    <w:p>
      <w:pPr>
        <w:spacing w:after="0"/>
      </w:pPr>
    </w:p>
    <w:p>
      <w:r>
        <w:t>The remaining historical question is what happened to Charles Michael Hall between Roy’s 1919 birth and Violet’s 1920 marriage to Burton. A military personnel file, death registration, divorce/annulment record, or other legal context may explain why the later register describes her as a spinster. Until that question is answered, the family-history narrative should avoid speculative explanations.</w:t>
      </w:r>
    </w:p>
    <w:p>
      <w:pPr>
        <w:pStyle w:val="Heading2"/>
        <w:keepNext/>
      </w:pPr>
      <w:r>
        <w:t>8.4 The naming loop closes in 1921 and 1931</w:t>
      </w:r>
    </w:p>
    <w:p>
      <w:r>
        <w:t>The 1921 census calls Burton’s wife Alberta. The 1931 census calls her Bertha. The 1919–20 directory calls a Hall woman at 25 Wellington Bertha. The 1918 marriage calls her Violet Alberta Davies. These are not identical labels, but the chain is now strong enough to describe her as Violet Alberta Davies, later Hall and McKenzie, who also appears under Bertha/Alberta forms. [S5–S11]</w:t>
      </w:r>
    </w:p>
    <w:p>
      <w:pPr>
        <w:pStyle w:val="Heading1"/>
        <w:keepNext/>
      </w:pPr>
      <w:r>
        <w:t>9. Roy/Ray Hall-McKenzie: the child-level bridge</w:t>
      </w:r>
    </w:p>
    <w:p>
      <w:r>
        <w:t>Roy Albert Hall is the key child-level bridge in the Hall→McKenzie reconstruction. His 1919 birth registration identifies Violet Davies/Hall as his mother and 25 Wellington as the family address. In the 1921 census, Burton and Alberta McKenzie have a son Ray, about one. In 1931, Bert/Burton and Bertha McKenzie have an eldest son Roy, about twelve, followed by Ronald, about ten. [S6, S9, S11]</w:t>
      </w:r>
    </w:p>
    <w:p>
      <w:r>
        <w:t>The identification Roy Albert Hall = Ray/Roy McKenzie is therefore very high confidence. Age, mother, residence transition, and sibling chronology converge. Ronald’s 1921 birth registration further says that he was Violet’s second living child, exactly consistent with Roy being the first. [S10]</w:t>
      </w:r>
    </w:p>
    <w:p>
      <w:pPr>
        <w:pStyle w:val="Heading1"/>
        <w:keepNext/>
      </w:pPr>
      <w:r>
        <w:t>10. 1921: Ted documented in a sister’s household</w:t>
      </w:r>
    </w:p>
    <w:p>
      <w:r>
        <w:t>The 1921 census at 46 Bland Street is the first hard residential answer to the question of who had Ted after his parents died. The household contains Burton McKenzie, wife Alberta, son Ray, and Alfred Davies, age 15, single, relationship “brother-in-law.” Alfred is Nova Scotia-born; the parental birthplace columns are recorded as England/England. [S9]</w:t>
      </w:r>
    </w:p>
    <w:tbl>
      <w:tblPr>
        <w:tblW w:type="auto" w:w="0"/>
        <w:jc w:val="center"/>
        <w:tblLayout w:type="autofit"/>
        <w:tblLook w:firstColumn="1" w:firstRow="1" w:lastColumn="0" w:lastRow="0" w:noHBand="0" w:noVBand="1" w:val="04A0"/>
      </w:tblPr>
      <w:tblGrid>
        <w:gridCol w:w="9936"/>
      </w:tblGrid>
      <w:tr>
        <w:trPr>
          <w:tblHeader w:val="true"/>
        </w:trPr>
        <w:tc>
          <w:tcPr>
            <w:tcW w:type="dxa" w:w="9936"/>
            <w:shd w:fill="D9EAF7"/>
            <w:tcMar>
              <w:top w:w="120" w:type="dxa"/>
              <w:start w:w="140" w:type="dxa"/>
              <w:bottom w:w="120" w:type="dxa"/>
              <w:end w:w="140" w:type="dxa"/>
            </w:tcMar>
          </w:tcPr>
          <w:p>
            <w:pPr>
              <w:keepLines/>
              <w:spacing w:after="0"/>
            </w:pPr>
            <w:r>
              <w:rPr>
                <w:b/>
                <w:color w:val="17365D"/>
              </w:rPr>
              <w:t>What the census proves</w:t>
            </w:r>
            <w:r>
              <w:br/>
              <w:t>It proves that the fifteen-year-old Alfred Davies was the brother of Burton McKenzie’s wife and was living in their household on 1 June 1921. With the Hall→McKenzie chain, the wife is identified with very high confidence as Ted’s sister Violet Alberta / Bertha. This is a documented sister-household placement.</w:t>
            </w:r>
          </w:p>
        </w:tc>
      </w:tr>
    </w:tbl>
    <w:p>
      <w:pPr>
        <w:spacing w:after="0"/>
      </w:pPr>
    </w:p>
    <w:p>
      <w:r>
        <w:t>What it does not prove is equally important. It does not tell us when Ted moved into the household, whether he had lived with another sister before 1921, whether Burton or Violet had legal guardianship, or whether the arrangement was formal at all.</w:t>
      </w:r>
    </w:p>
    <w:p>
      <w:pPr>
        <w:pStyle w:val="Heading1"/>
        <w:keepNext/>
      </w:pPr>
      <w:r>
        <w:t>11. Spryfield, McNeil, Florence, Kirby and Turner: the wider network</w:t>
      </w:r>
    </w:p>
    <w:p>
      <w:pPr>
        <w:pStyle w:val="Heading2"/>
        <w:keepNext/>
      </w:pPr>
      <w:r>
        <w:t>11.1 The Spryfield aunt</w:t>
      </w:r>
    </w:p>
    <w:p>
      <w:r>
        <w:t>Ted Jr. directly remembered one of his father’s sisters and her husband living in Spryfield. He remembered the married surname McNeil. Later in the same conversation he again described her as “my dad’s sister,” said his mother and father went there often, said she was close to them, and recalled that the family sometimes walked roughly three miles to visit. [S12]</w:t>
      </w:r>
    </w:p>
    <w:p>
      <w:r>
        <w:t>This is strong evidence of the continuing family network in Ted’s married life. It does not prove that the Spryfield aunt was one of his childhood guardians. Nellie is presently the strongest candidate because a derivative record places her death in Spryfield in 1950, but the identity remains open until a marriage/death record names the spouse or parents.</w:t>
      </w:r>
    </w:p>
    <w:p>
      <w:pPr>
        <w:pStyle w:val="Heading2"/>
        <w:keepNext/>
      </w:pPr>
      <w:r>
        <w:t>11.2 Florence</w:t>
      </w:r>
    </w:p>
    <w:p>
      <w:r>
        <w:t>Florence has two independent points of relevance. Family conversation raised “Flo” as a sister who may have visited Ted later in life, though Ted Jr. did not clearly confirm her by name. Separately, Florence Myrtle Davies appears as witness at Violet Alberta’s 1918 marriage. That primary record places her within the active sibling network during the orphan years. [S5, S12]</w:t>
      </w:r>
    </w:p>
    <w:p>
      <w:pPr>
        <w:pStyle w:val="Heading2"/>
        <w:keepNext/>
      </w:pPr>
      <w:r>
        <w:t>11.3 25 Wellington and the Kirby possibility</w:t>
      </w:r>
    </w:p>
    <w:p>
      <w:r>
        <w:t>Period directories associate Joseph Kirby with 25 Wellington, the same address at which Violet/Bertha Hall and Roy are documented. Ellen’s obituary names a married daughter “Mrs. Kirby.” This creates a compelling sister-network hypothesis: Violet may have been living in another sister’s household when Roy was born, and Burton may later have boarded there. But Joseph Kirby has not yet been proven to be the husband of a Davies daughter. The address pattern is a lead, not a fact.</w:t>
      </w:r>
    </w:p>
    <w:p>
      <w:pPr>
        <w:pStyle w:val="Heading2"/>
        <w:keepNext/>
      </w:pPr>
      <w:r>
        <w:t>11.4 55 Cunard and the Turner possibility</w:t>
      </w:r>
    </w:p>
    <w:p>
      <w:r>
        <w:t>Ronald Edward McKenzie’s June 1921 birth registration gives the family residence as 55 Cunard Street. A 1921–22 directory places Christopher C. Turner at 55 Cunard, while Ellen’s 1916 obituary names Mrs. Lottie Turner. This may be another sister-household node. Again, the marriage/death bridge is still needed before Christopher C. Turner can be called Lottie’s husband.</w:t>
      </w:r>
    </w:p>
    <w:p>
      <w:pPr>
        <w:pStyle w:val="Heading1"/>
        <w:keepNext/>
      </w:pPr>
      <w:r>
        <w:t>12. What can responsibly be said about how Ted was raised</w:t>
      </w:r>
    </w:p>
    <w:tbl>
      <w:tblPr>
        <w:tblStyle w:val="TableGrid"/>
        <w:tblW w:type="auto" w:w="0"/>
        <w:jc w:val="center"/>
        <w:tblLook w:firstColumn="1" w:firstRow="1" w:lastColumn="0" w:lastRow="0" w:noHBand="0" w:noVBand="1" w:val="04A0"/>
      </w:tblPr>
      <w:tblGrid>
        <w:gridCol w:w="3312"/>
        <w:gridCol w:w="3312"/>
        <w:gridCol w:w="3312"/>
      </w:tblGrid>
      <w:tr>
        <w:trPr>
          <w:tblHeader w:val="true"/>
        </w:trPr>
        <w:tc>
          <w:tcPr>
            <w:tcW w:type="dxa" w:w="3168"/>
            <w:shd w:fill="17365D"/>
            <w:tcMar>
              <w:top w:w="80" w:type="dxa"/>
              <w:start w:w="80" w:type="dxa"/>
              <w:bottom w:w="80" w:type="dxa"/>
              <w:end w:w="80" w:type="dxa"/>
            </w:tcMar>
          </w:tcPr>
          <w:p>
            <w:pPr>
              <w:keepLines/>
            </w:pPr>
            <w:r>
              <w:rPr>
                <w:b/>
                <w:color w:val="FFFFFF"/>
                <w:sz w:val="16"/>
              </w:rPr>
              <w:t>Statement</w:t>
            </w:r>
          </w:p>
        </w:tc>
        <w:tc>
          <w:tcPr>
            <w:tcW w:type="dxa" w:w="2448"/>
            <w:shd w:fill="17365D"/>
            <w:tcMar>
              <w:top w:w="80" w:type="dxa"/>
              <w:start w:w="80" w:type="dxa"/>
              <w:bottom w:w="80" w:type="dxa"/>
              <w:end w:w="80" w:type="dxa"/>
            </w:tcMar>
          </w:tcPr>
          <w:p>
            <w:pPr>
              <w:keepLines/>
            </w:pPr>
            <w:r>
              <w:rPr>
                <w:b/>
                <w:color w:val="FFFFFF"/>
                <w:sz w:val="16"/>
              </w:rPr>
              <w:t>Evidence level</w:t>
            </w:r>
          </w:p>
        </w:tc>
        <w:tc>
          <w:tcPr>
            <w:tcW w:type="dxa" w:w="4752"/>
            <w:shd w:fill="17365D"/>
            <w:tcMar>
              <w:top w:w="80" w:type="dxa"/>
              <w:start w:w="80" w:type="dxa"/>
              <w:bottom w:w="80" w:type="dxa"/>
              <w:end w:w="80" w:type="dxa"/>
            </w:tcMar>
          </w:tcPr>
          <w:p>
            <w:pPr>
              <w:keepLines/>
            </w:pPr>
            <w:r>
              <w:rPr>
                <w:b/>
                <w:color w:val="FFFFFF"/>
                <w:sz w:val="16"/>
              </w:rPr>
              <w:t>Safe wording</w:t>
            </w:r>
          </w:p>
        </w:tc>
      </w:tr>
      <w:tr>
        <w:tc>
          <w:tcPr>
            <w:tcW w:type="dxa" w:w="3168"/>
            <w:tcMar>
              <w:top w:w="80" w:type="dxa"/>
              <w:start w:w="80" w:type="dxa"/>
              <w:bottom w:w="80" w:type="dxa"/>
              <w:end w:w="80" w:type="dxa"/>
            </w:tcMar>
            <w:vAlign w:val="top"/>
          </w:tcPr>
          <w:p>
            <w:pPr>
              <w:keepLines/>
              <w:spacing w:after="0"/>
            </w:pPr>
            <w:r>
              <w:rPr>
                <w:sz w:val="16"/>
              </w:rPr>
              <w:t>Ted was orphaned around age ten.</w:t>
            </w:r>
          </w:p>
        </w:tc>
        <w:tc>
          <w:tcPr>
            <w:tcW w:type="dxa" w:w="2448"/>
            <w:tcMar>
              <w:top w:w="80" w:type="dxa"/>
              <w:start w:w="80" w:type="dxa"/>
              <w:bottom w:w="80" w:type="dxa"/>
              <w:end w:w="80" w:type="dxa"/>
            </w:tcMar>
            <w:vAlign w:val="top"/>
          </w:tcPr>
          <w:p>
            <w:pPr>
              <w:keepLines/>
              <w:spacing w:after="0"/>
            </w:pPr>
            <w:r>
              <w:rPr>
                <w:sz w:val="16"/>
              </w:rPr>
              <w:t>DOCUMENTED chronology</w:t>
            </w:r>
          </w:p>
        </w:tc>
        <w:tc>
          <w:tcPr>
            <w:tcW w:type="dxa" w:w="4752"/>
            <w:tcMar>
              <w:top w:w="80" w:type="dxa"/>
              <w:start w:w="80" w:type="dxa"/>
              <w:bottom w:w="80" w:type="dxa"/>
              <w:end w:w="80" w:type="dxa"/>
            </w:tcMar>
            <w:vAlign w:val="top"/>
          </w:tcPr>
          <w:p>
            <w:pPr>
              <w:keepLines/>
              <w:spacing w:after="0"/>
            </w:pPr>
            <w:r>
              <w:rPr>
                <w:sz w:val="16"/>
              </w:rPr>
              <w:t>State plainly.</w:t>
            </w:r>
          </w:p>
        </w:tc>
      </w:tr>
      <w:tr>
        <w:tc>
          <w:tcPr>
            <w:tcW w:type="dxa" w:w="3168"/>
            <w:tcMar>
              <w:top w:w="80" w:type="dxa"/>
              <w:start w:w="80" w:type="dxa"/>
              <w:bottom w:w="80" w:type="dxa"/>
              <w:end w:w="80" w:type="dxa"/>
            </w:tcMar>
            <w:vAlign w:val="top"/>
          </w:tcPr>
          <w:p>
            <w:pPr>
              <w:keepLines/>
              <w:spacing w:after="0"/>
            </w:pPr>
            <w:r>
              <w:rPr>
                <w:sz w:val="16"/>
              </w:rPr>
              <w:t>Older sisters were an active family network.</w:t>
            </w:r>
          </w:p>
        </w:tc>
        <w:tc>
          <w:tcPr>
            <w:tcW w:type="dxa" w:w="2448"/>
            <w:tcMar>
              <w:top w:w="80" w:type="dxa"/>
              <w:start w:w="80" w:type="dxa"/>
              <w:bottom w:w="80" w:type="dxa"/>
              <w:end w:w="80" w:type="dxa"/>
            </w:tcMar>
            <w:vAlign w:val="top"/>
          </w:tcPr>
          <w:p>
            <w:pPr>
              <w:keepLines/>
              <w:spacing w:after="0"/>
            </w:pPr>
            <w:r>
              <w:rPr>
                <w:sz w:val="16"/>
              </w:rPr>
              <w:t>DOCUMENTED + strong pattern</w:t>
            </w:r>
          </w:p>
        </w:tc>
        <w:tc>
          <w:tcPr>
            <w:tcW w:type="dxa" w:w="4752"/>
            <w:tcMar>
              <w:top w:w="80" w:type="dxa"/>
              <w:start w:w="80" w:type="dxa"/>
              <w:bottom w:w="80" w:type="dxa"/>
              <w:end w:w="80" w:type="dxa"/>
            </w:tcMar>
            <w:vAlign w:val="top"/>
          </w:tcPr>
          <w:p>
            <w:pPr>
              <w:keepLines/>
              <w:spacing w:after="0"/>
            </w:pPr>
            <w:r>
              <w:rPr>
                <w:sz w:val="16"/>
              </w:rPr>
              <w:t>State plainly that the network existed; avoid assigning custody without proof.</w:t>
            </w:r>
          </w:p>
        </w:tc>
      </w:tr>
      <w:tr>
        <w:tc>
          <w:tcPr>
            <w:tcW w:type="dxa" w:w="3168"/>
            <w:tcMar>
              <w:top w:w="80" w:type="dxa"/>
              <w:start w:w="80" w:type="dxa"/>
              <w:bottom w:w="80" w:type="dxa"/>
              <w:end w:w="80" w:type="dxa"/>
            </w:tcMar>
            <w:vAlign w:val="top"/>
          </w:tcPr>
          <w:p>
            <w:pPr>
              <w:keepLines/>
              <w:spacing w:after="0"/>
            </w:pPr>
            <w:r>
              <w:rPr>
                <w:sz w:val="16"/>
              </w:rPr>
              <w:t>Ted lived with a sister by 1921.</w:t>
            </w:r>
          </w:p>
        </w:tc>
        <w:tc>
          <w:tcPr>
            <w:tcW w:type="dxa" w:w="2448"/>
            <w:tcMar>
              <w:top w:w="80" w:type="dxa"/>
              <w:start w:w="80" w:type="dxa"/>
              <w:bottom w:w="80" w:type="dxa"/>
              <w:end w:w="80" w:type="dxa"/>
            </w:tcMar>
            <w:vAlign w:val="top"/>
          </w:tcPr>
          <w:p>
            <w:pPr>
              <w:keepLines/>
              <w:spacing w:after="0"/>
            </w:pPr>
            <w:r>
              <w:rPr>
                <w:sz w:val="16"/>
              </w:rPr>
              <w:t>DOCUMENTED</w:t>
            </w:r>
          </w:p>
        </w:tc>
        <w:tc>
          <w:tcPr>
            <w:tcW w:type="dxa" w:w="4752"/>
            <w:tcMar>
              <w:top w:w="80" w:type="dxa"/>
              <w:start w:w="80" w:type="dxa"/>
              <w:bottom w:w="80" w:type="dxa"/>
              <w:end w:w="80" w:type="dxa"/>
            </w:tcMar>
            <w:vAlign w:val="top"/>
          </w:tcPr>
          <w:p>
            <w:pPr>
              <w:keepLines/>
              <w:spacing w:after="0"/>
            </w:pPr>
            <w:r>
              <w:rPr>
                <w:sz w:val="16"/>
              </w:rPr>
              <w:t>State plainly.</w:t>
            </w:r>
          </w:p>
        </w:tc>
      </w:tr>
      <w:tr>
        <w:tc>
          <w:tcPr>
            <w:tcW w:type="dxa" w:w="3168"/>
            <w:tcMar>
              <w:top w:w="80" w:type="dxa"/>
              <w:start w:w="80" w:type="dxa"/>
              <w:bottom w:w="80" w:type="dxa"/>
              <w:end w:w="80" w:type="dxa"/>
            </w:tcMar>
            <w:vAlign w:val="top"/>
          </w:tcPr>
          <w:p>
            <w:pPr>
              <w:keepLines/>
              <w:spacing w:after="0"/>
            </w:pPr>
            <w:r>
              <w:rPr>
                <w:sz w:val="16"/>
              </w:rPr>
              <w:t>Ted went “from sister to sister.”</w:t>
            </w:r>
          </w:p>
        </w:tc>
        <w:tc>
          <w:tcPr>
            <w:tcW w:type="dxa" w:w="2448"/>
            <w:tcMar>
              <w:top w:w="80" w:type="dxa"/>
              <w:start w:w="80" w:type="dxa"/>
              <w:bottom w:w="80" w:type="dxa"/>
              <w:end w:w="80" w:type="dxa"/>
            </w:tcMar>
            <w:vAlign w:val="top"/>
          </w:tcPr>
          <w:p>
            <w:pPr>
              <w:keepLines/>
              <w:spacing w:after="0"/>
            </w:pPr>
            <w:r>
              <w:rPr>
                <w:sz w:val="16"/>
              </w:rPr>
              <w:t>FAMILY RECOLLECTION, partly corroborated</w:t>
            </w:r>
          </w:p>
        </w:tc>
        <w:tc>
          <w:tcPr>
            <w:tcW w:type="dxa" w:w="4752"/>
            <w:tcMar>
              <w:top w:w="80" w:type="dxa"/>
              <w:start w:w="80" w:type="dxa"/>
              <w:bottom w:w="80" w:type="dxa"/>
              <w:end w:w="80" w:type="dxa"/>
            </w:tcMar>
            <w:vAlign w:val="top"/>
          </w:tcPr>
          <w:p>
            <w:pPr>
              <w:keepLines/>
              <w:spacing w:after="0"/>
            </w:pPr>
            <w:r>
              <w:rPr>
                <w:sz w:val="16"/>
              </w:rPr>
              <w:t>Use “family memory held…” or “the family later believed…”</w:t>
            </w:r>
          </w:p>
        </w:tc>
      </w:tr>
      <w:tr>
        <w:tc>
          <w:tcPr>
            <w:tcW w:type="dxa" w:w="3168"/>
            <w:tcMar>
              <w:top w:w="80" w:type="dxa"/>
              <w:start w:w="80" w:type="dxa"/>
              <w:bottom w:w="80" w:type="dxa"/>
              <w:end w:w="80" w:type="dxa"/>
            </w:tcMar>
            <w:vAlign w:val="top"/>
          </w:tcPr>
          <w:p>
            <w:pPr>
              <w:keepLines/>
              <w:spacing w:after="0"/>
            </w:pPr>
            <w:r>
              <w:rPr>
                <w:sz w:val="16"/>
              </w:rPr>
              <w:t>A particular sister had legal custody.</w:t>
            </w:r>
          </w:p>
        </w:tc>
        <w:tc>
          <w:tcPr>
            <w:tcW w:type="dxa" w:w="2448"/>
            <w:tcMar>
              <w:top w:w="80" w:type="dxa"/>
              <w:start w:w="80" w:type="dxa"/>
              <w:bottom w:w="80" w:type="dxa"/>
              <w:end w:w="80" w:type="dxa"/>
            </w:tcMar>
            <w:vAlign w:val="top"/>
          </w:tcPr>
          <w:p>
            <w:pPr>
              <w:keepLines/>
              <w:spacing w:after="0"/>
            </w:pPr>
            <w:r>
              <w:rPr>
                <w:sz w:val="16"/>
              </w:rPr>
              <w:t>OPEN</w:t>
            </w:r>
          </w:p>
        </w:tc>
        <w:tc>
          <w:tcPr>
            <w:tcW w:type="dxa" w:w="4752"/>
            <w:tcMar>
              <w:top w:w="80" w:type="dxa"/>
              <w:start w:w="80" w:type="dxa"/>
              <w:bottom w:w="80" w:type="dxa"/>
              <w:end w:w="80" w:type="dxa"/>
            </w:tcMar>
            <w:vAlign w:val="top"/>
          </w:tcPr>
          <w:p>
            <w:pPr>
              <w:keepLines/>
              <w:spacing w:after="0"/>
            </w:pPr>
            <w:r>
              <w:rPr>
                <w:sz w:val="16"/>
              </w:rPr>
              <w:t>Do not state.</w:t>
            </w:r>
          </w:p>
        </w:tc>
      </w:tr>
      <w:tr>
        <w:tc>
          <w:tcPr>
            <w:tcW w:type="dxa" w:w="3168"/>
            <w:tcMar>
              <w:top w:w="80" w:type="dxa"/>
              <w:start w:w="80" w:type="dxa"/>
              <w:bottom w:w="80" w:type="dxa"/>
              <w:end w:w="80" w:type="dxa"/>
            </w:tcMar>
            <w:vAlign w:val="top"/>
          </w:tcPr>
          <w:p>
            <w:pPr>
              <w:keepLines/>
              <w:spacing w:after="0"/>
            </w:pPr>
            <w:r>
              <w:rPr>
                <w:sz w:val="16"/>
              </w:rPr>
              <w:t>Ted lived with named sisters in a specific sequence.</w:t>
            </w:r>
          </w:p>
        </w:tc>
        <w:tc>
          <w:tcPr>
            <w:tcW w:type="dxa" w:w="2448"/>
            <w:tcMar>
              <w:top w:w="80" w:type="dxa"/>
              <w:start w:w="80" w:type="dxa"/>
              <w:bottom w:w="80" w:type="dxa"/>
              <w:end w:w="80" w:type="dxa"/>
            </w:tcMar>
            <w:vAlign w:val="top"/>
          </w:tcPr>
          <w:p>
            <w:pPr>
              <w:keepLines/>
              <w:spacing w:after="0"/>
            </w:pPr>
            <w:r>
              <w:rPr>
                <w:sz w:val="16"/>
              </w:rPr>
              <w:t>OPEN</w:t>
            </w:r>
          </w:p>
        </w:tc>
        <w:tc>
          <w:tcPr>
            <w:tcW w:type="dxa" w:w="4752"/>
            <w:tcMar>
              <w:top w:w="80" w:type="dxa"/>
              <w:start w:w="80" w:type="dxa"/>
              <w:bottom w:w="80" w:type="dxa"/>
              <w:end w:w="80" w:type="dxa"/>
            </w:tcMar>
            <w:vAlign w:val="top"/>
          </w:tcPr>
          <w:p>
            <w:pPr>
              <w:keepLines/>
              <w:spacing w:after="0"/>
            </w:pPr>
            <w:r>
              <w:rPr>
                <w:sz w:val="16"/>
              </w:rPr>
              <w:t>Do not state.</w:t>
            </w:r>
          </w:p>
        </w:tc>
      </w:tr>
      <w:tr>
        <w:tc>
          <w:tcPr>
            <w:tcW w:type="dxa" w:w="3168"/>
            <w:tcMar>
              <w:top w:w="80" w:type="dxa"/>
              <w:start w:w="80" w:type="dxa"/>
              <w:bottom w:w="80" w:type="dxa"/>
              <w:end w:w="80" w:type="dxa"/>
            </w:tcMar>
            <w:vAlign w:val="top"/>
          </w:tcPr>
          <w:p>
            <w:pPr>
              <w:keepLines/>
              <w:spacing w:after="0"/>
            </w:pPr>
            <w:r>
              <w:rPr>
                <w:sz w:val="16"/>
              </w:rPr>
              <w:t>Nellie was the Spryfield McNeil aunt.</w:t>
            </w:r>
          </w:p>
        </w:tc>
        <w:tc>
          <w:tcPr>
            <w:tcW w:type="dxa" w:w="2448"/>
            <w:tcMar>
              <w:top w:w="80" w:type="dxa"/>
              <w:start w:w="80" w:type="dxa"/>
              <w:bottom w:w="80" w:type="dxa"/>
              <w:end w:w="80" w:type="dxa"/>
            </w:tcMar>
            <w:vAlign w:val="top"/>
          </w:tcPr>
          <w:p>
            <w:pPr>
              <w:keepLines/>
              <w:spacing w:after="0"/>
            </w:pPr>
            <w:r>
              <w:rPr>
                <w:sz w:val="16"/>
              </w:rPr>
              <w:t>STRONG CANDIDATE</w:t>
            </w:r>
          </w:p>
        </w:tc>
        <w:tc>
          <w:tcPr>
            <w:tcW w:type="dxa" w:w="4752"/>
            <w:tcMar>
              <w:top w:w="80" w:type="dxa"/>
              <w:start w:w="80" w:type="dxa"/>
              <w:bottom w:w="80" w:type="dxa"/>
              <w:end w:w="80" w:type="dxa"/>
            </w:tcMar>
            <w:vAlign w:val="top"/>
          </w:tcPr>
          <w:p>
            <w:pPr>
              <w:keepLines/>
              <w:spacing w:after="0"/>
            </w:pPr>
            <w:r>
              <w:rPr>
                <w:sz w:val="16"/>
              </w:rPr>
              <w:t>Do not state as fact until spouse/parents are named.</w:t>
            </w:r>
          </w:p>
        </w:tc>
      </w:tr>
    </w:tbl>
    <w:p>
      <w:pPr>
        <w:spacing w:after="0"/>
      </w:pPr>
    </w:p>
    <w:tbl>
      <w:tblPr>
        <w:tblW w:type="auto" w:w="0"/>
        <w:jc w:val="center"/>
        <w:tblLayout w:type="autofit"/>
        <w:tblLook w:firstColumn="1" w:firstRow="1" w:lastColumn="0" w:lastRow="0" w:noHBand="0" w:noVBand="1" w:val="04A0"/>
      </w:tblPr>
      <w:tblGrid>
        <w:gridCol w:w="9936"/>
      </w:tblGrid>
      <w:tr>
        <w:trPr>
          <w:tblHeader w:val="true"/>
        </w:trPr>
        <w:tc>
          <w:tcPr>
            <w:tcW w:type="dxa" w:w="9936"/>
            <w:shd w:fill="D9EAF7"/>
            <w:tcMar>
              <w:top w:w="120" w:type="dxa"/>
              <w:start w:w="140" w:type="dxa"/>
              <w:bottom w:w="120" w:type="dxa"/>
              <w:end w:w="140" w:type="dxa"/>
            </w:tcMar>
          </w:tcPr>
          <w:p>
            <w:pPr>
              <w:keepLines/>
              <w:spacing w:after="0"/>
            </w:pPr>
            <w:r>
              <w:rPr>
                <w:b/>
                <w:color w:val="17365D"/>
              </w:rPr>
              <w:t>Best current formulation</w:t>
            </w:r>
            <w:r>
              <w:br/>
              <w:t>Ted’s adolescence appears to have unfolded inside a wider older-sister network rather than in a single clearly documented replacement home. One sister-household placement is proven; the full path from 1916 to 1921 remains to be recovered.</w:t>
            </w:r>
          </w:p>
        </w:tc>
      </w:tr>
    </w:tbl>
    <w:p>
      <w:pPr>
        <w:spacing w:after="0"/>
      </w:pPr>
    </w:p>
    <w:p>
      <w:pPr>
        <w:pStyle w:val="Heading1"/>
        <w:keepNext/>
      </w:pPr>
      <w:r>
        <w:t>13. The uncertain transition to sea</w:t>
      </w:r>
    </w:p>
    <w:p>
      <w:r>
        <w:t>SOURCE CORRECTION: An earlier draft incorrectly attached the St. Joseph’s / Grade 8 interview material to Captain Ted. That exchange concerned Robert James Davies, Ted’s son. It is not evidence about Captain Ted and has been removed from his reconstruction.</w:t>
        <w:br/>
        <w:br/>
        <w:t>The family’s maritime story is consistent that Ted went to sea young, but the interview does not support a precise starting age. When Ted Jr. was asked how young his father had been, he said only that he was “young.” The age “12 or 13” was then proposed by the interviewer and was not independently supplied or confirmed by Ted Jr. [S12]</w:t>
      </w:r>
    </w:p>
    <w:p>
      <w:r>
        <w:t>This correction matters. Ted’s transition to sea should be researched through seaman records, master-certificate files and other direct chronology rather than by importing Robert’s schooling or an interviewer-supplied age. The Imperial Oil Review’s statement that Edward “signed on as seaman in 1907” is plainly incompatible with a 1905 birth and remains an unresolved printed anomaly, not a literal start date. [S13]</w:t>
      </w:r>
    </w:p>
    <w:p>
      <w:pPr>
        <w:pStyle w:val="Heading1"/>
        <w:keepNext/>
      </w:pPr>
      <w:r>
        <w:t>14. Marriage, children, and the family he built</w:t>
      </w:r>
    </w:p>
    <w:p>
      <w:r>
        <w:t>Family records place Edward’s marriage to Eileen Supple on 16 February 1928 at St. Mary’s Cathedral, Halifax. The parish/civil image remains desirable for primary closure, but the marriage is well established at family-record level.</w:t>
      </w:r>
    </w:p>
    <w:p>
      <w:r>
        <w:t>Edward and Eileen had five children in the project’s current family reconstruction: Joan, Ted/Edward, Robert, Reg and Diane. Later testimony is especially valuable here because Ted Jr. and Diane are living witnesses to the family structure and to their parents’ relationships with the older Halifax generation.</w:t>
      </w:r>
    </w:p>
    <w:p>
      <w:r>
        <w:t>The Spryfield testimony is important in this later context. Ted Jr. remembered that his parents regularly visited his father’s sister there and that the children walked out to see her. This shows that at least some of the sibling relationships that mattered in Ted’s youth remained active after he married and became a father. [S12]</w:t>
      </w:r>
    </w:p>
    <w:p>
      <w:pPr>
        <w:pStyle w:val="Heading1"/>
        <w:keepNext/>
      </w:pPr>
      <w:r>
        <w:t>15. Wartime career, O.B.E., and S.S. Sarnolite</w:t>
      </w:r>
    </w:p>
    <w:p>
      <w:r>
        <w:t>By the Second World War, Ted had become a master mariner. The Winter 1945 Imperial Oil Review identifies “Captain E. A. Davies, Master of the S.S. Sarnolite,” states that he had risen to Master in 1932, had been in coast service since 1939, had received the O.B.E., and had commodored seventeen convoys. The same feature says the tanker masters were specially mentioned by the Royal Canadian Navy for their service as convoy commodores. [S13]</w:t>
      </w:r>
    </w:p>
    <w:p>
      <w:r>
        <w:t>The O.B.E. is independently proven by the official Canada Gazette of 1 January 1945, which names “Captain Edward Alfred DAVIES” among the Additional Officers of the Civil Division of the Order of the British Empire. The earlier project “verification debt” on the honour is therefore closed. [S14]</w:t>
      </w:r>
    </w:p>
    <w:tbl>
      <w:tblPr>
        <w:tblW w:type="auto" w:w="0"/>
        <w:jc w:val="center"/>
        <w:tblLayout w:type="autofit"/>
        <w:tblLook w:firstColumn="1" w:firstRow="1" w:lastColumn="0" w:lastRow="0" w:noHBand="0" w:noVBand="1" w:val="04A0"/>
      </w:tblPr>
      <w:tblGrid>
        <w:gridCol w:w="9936"/>
      </w:tblGrid>
      <w:tr>
        <w:trPr>
          <w:tblHeader w:val="true"/>
        </w:trPr>
        <w:tc>
          <w:tcPr>
            <w:tcW w:type="dxa" w:w="9936"/>
            <w:shd w:fill="D9EAF7"/>
            <w:tcMar>
              <w:top w:w="120" w:type="dxa"/>
              <w:start w:w="140" w:type="dxa"/>
              <w:bottom w:w="120" w:type="dxa"/>
              <w:end w:w="140" w:type="dxa"/>
            </w:tcMar>
          </w:tcPr>
          <w:p>
            <w:pPr>
              <w:keepLines/>
              <w:spacing w:after="0"/>
            </w:pPr>
            <w:r>
              <w:rPr>
                <w:b/>
                <w:color w:val="17365D"/>
              </w:rPr>
              <w:t>Maritime fact now safe to publish</w:t>
            </w:r>
            <w:r>
              <w:br/>
              <w:t>Captain Edward Alfred Davies was an O.B.E.-appointed merchant master and wartime convoy commodore. The Imperial Oil Review identifies him as master of S.S. Sarnolite and credits him with seventeen convoys; the Canada Gazette independently proves the O.B.E. and his documentary name.</w:t>
            </w:r>
          </w:p>
        </w:tc>
      </w:tr>
    </w:tbl>
    <w:p>
      <w:pPr>
        <w:spacing w:after="0"/>
      </w:pPr>
    </w:p>
    <w:p>
      <w:r>
        <w:t>One printed anomaly remains: the Review says he “signed on as seaman in 1907.” Because this conflicts with a 1905 birth, the date should be quoted only as an anomaly or omitted from narrative prose until a master’s certificate or seaman file explains it.</w:t>
      </w:r>
    </w:p>
    <w:p>
      <w:pPr>
        <w:pStyle w:val="Heading1"/>
        <w:keepNext/>
      </w:pPr>
      <w:r>
        <w:t>16. The Sarnolite → Imperial Hamilton intergenerational link</w:t>
      </w:r>
    </w:p>
    <w:p>
      <w:r>
        <w:t>The vessel connection between Captain Ted and his son Robert is now strong enough to preserve as a documented structural finding. Sarnolite, Official No. 134515, was renamed Imperial Sarnia in 1947 and Imperial Hamilton in 1948. Robert James Davies’s discharge book records his 1955 summer engagement aboard S.S. Imperial Hamilton, Official No. 134515. [S15]</w:t>
      </w:r>
    </w:p>
    <w:p>
      <w:r>
        <w:t>The 1945 Imperial Oil Review independently identifies Captain E. A. Davies as master of S.S. Sarnolite. The Canada Gazette independently names Captain Edward Alfred Davies in the same wartime period. Taken together, those sources clear the project’s former bar on connecting father, hull and son. [S13–S15]</w:t>
      </w:r>
    </w:p>
    <w:tbl>
      <w:tblPr>
        <w:tblW w:type="auto" w:w="0"/>
        <w:jc w:val="center"/>
        <w:tblLayout w:type="autofit"/>
        <w:tblLook w:firstColumn="1" w:firstRow="1" w:lastColumn="0" w:lastRow="0" w:noHBand="0" w:noVBand="1" w:val="04A0"/>
      </w:tblPr>
      <w:tblGrid>
        <w:gridCol w:w="9936"/>
      </w:tblGrid>
      <w:tr>
        <w:trPr>
          <w:tblHeader w:val="true"/>
        </w:trPr>
        <w:tc>
          <w:tcPr>
            <w:tcW w:type="dxa" w:w="9936"/>
            <w:shd w:fill="D9EAF7"/>
            <w:tcMar>
              <w:top w:w="120" w:type="dxa"/>
              <w:start w:w="140" w:type="dxa"/>
              <w:bottom w:w="120" w:type="dxa"/>
              <w:end w:w="140" w:type="dxa"/>
            </w:tcMar>
          </w:tcPr>
          <w:p>
            <w:pPr>
              <w:keepLines/>
              <w:spacing w:after="0"/>
            </w:pPr>
            <w:r>
              <w:rPr>
                <w:b/>
                <w:color w:val="17365D"/>
              </w:rPr>
              <w:t>The safe intergenerational statement</w:t>
            </w:r>
            <w:r>
              <w:br/>
              <w:t>Robert’s 1955 Imperial Hamilton was the same hull his father had commanded a decade earlier as Sarnolite. This does NOT prove that Captain Ted still commanded the ship in 1955, and no overlap of their service should be implied without further records.</w:t>
            </w:r>
          </w:p>
        </w:tc>
      </w:tr>
    </w:tbl>
    <w:p>
      <w:pPr>
        <w:spacing w:after="0"/>
      </w:pPr>
    </w:p>
    <w:p>
      <w:pPr>
        <w:pStyle w:val="Heading1"/>
        <w:keepNext/>
      </w:pPr>
      <w:r>
        <w:t>17. Conflicts, anomalies, and unresolved questions</w:t>
      </w:r>
    </w:p>
    <w:tbl>
      <w:tblPr>
        <w:tblStyle w:val="TableGrid"/>
        <w:tblW w:type="auto" w:w="0"/>
        <w:jc w:val="center"/>
        <w:tblLook w:firstColumn="1" w:firstRow="1" w:lastColumn="0" w:lastRow="0" w:noHBand="0" w:noVBand="1" w:val="04A0"/>
      </w:tblPr>
      <w:tblGrid>
        <w:gridCol w:w="3312"/>
        <w:gridCol w:w="3312"/>
        <w:gridCol w:w="3312"/>
      </w:tblGrid>
      <w:tr>
        <w:trPr>
          <w:tblHeader w:val="true"/>
        </w:trPr>
        <w:tc>
          <w:tcPr>
            <w:tcW w:type="dxa" w:w="2304"/>
            <w:shd w:fill="17365D"/>
            <w:tcMar>
              <w:top w:w="80" w:type="dxa"/>
              <w:start w:w="80" w:type="dxa"/>
              <w:bottom w:w="80" w:type="dxa"/>
              <w:end w:w="80" w:type="dxa"/>
            </w:tcMar>
          </w:tcPr>
          <w:p>
            <w:pPr>
              <w:keepLines/>
            </w:pPr>
            <w:r>
              <w:rPr>
                <w:b/>
                <w:color w:val="FFFFFF"/>
                <w:sz w:val="16"/>
              </w:rPr>
              <w:t>Issue</w:t>
            </w:r>
          </w:p>
        </w:tc>
        <w:tc>
          <w:tcPr>
            <w:tcW w:type="dxa" w:w="4896"/>
            <w:shd w:fill="17365D"/>
            <w:tcMar>
              <w:top w:w="80" w:type="dxa"/>
              <w:start w:w="80" w:type="dxa"/>
              <w:bottom w:w="80" w:type="dxa"/>
              <w:end w:w="80" w:type="dxa"/>
            </w:tcMar>
          </w:tcPr>
          <w:p>
            <w:pPr>
              <w:keepLines/>
            </w:pPr>
            <w:r>
              <w:rPr>
                <w:b/>
                <w:color w:val="FFFFFF"/>
                <w:sz w:val="16"/>
              </w:rPr>
              <w:t>What the records say</w:t>
            </w:r>
          </w:p>
        </w:tc>
        <w:tc>
          <w:tcPr>
            <w:tcW w:type="dxa" w:w="3168"/>
            <w:shd w:fill="17365D"/>
            <w:tcMar>
              <w:top w:w="80" w:type="dxa"/>
              <w:start w:w="80" w:type="dxa"/>
              <w:bottom w:w="80" w:type="dxa"/>
              <w:end w:w="80" w:type="dxa"/>
            </w:tcMar>
          </w:tcPr>
          <w:p>
            <w:pPr>
              <w:keepLines/>
            </w:pPr>
            <w:r>
              <w:rPr>
                <w:b/>
                <w:color w:val="FFFFFF"/>
                <w:sz w:val="16"/>
              </w:rPr>
              <w:t>Current ruling</w:t>
            </w:r>
          </w:p>
        </w:tc>
      </w:tr>
      <w:tr>
        <w:tc>
          <w:tcPr>
            <w:tcW w:type="dxa" w:w="2304"/>
            <w:tcMar>
              <w:top w:w="80" w:type="dxa"/>
              <w:start w:w="80" w:type="dxa"/>
              <w:bottom w:w="80" w:type="dxa"/>
              <w:end w:w="80" w:type="dxa"/>
            </w:tcMar>
            <w:vAlign w:val="top"/>
          </w:tcPr>
          <w:p>
            <w:pPr>
              <w:keepLines/>
              <w:spacing w:after="0"/>
            </w:pPr>
            <w:r>
              <w:rPr>
                <w:sz w:val="16"/>
              </w:rPr>
              <w:t>Ted’s full name</w:t>
            </w:r>
          </w:p>
        </w:tc>
        <w:tc>
          <w:tcPr>
            <w:tcW w:type="dxa" w:w="4896"/>
            <w:tcMar>
              <w:top w:w="80" w:type="dxa"/>
              <w:start w:w="80" w:type="dxa"/>
              <w:bottom w:w="80" w:type="dxa"/>
              <w:end w:w="80" w:type="dxa"/>
            </w:tcMar>
            <w:vAlign w:val="top"/>
          </w:tcPr>
          <w:p>
            <w:pPr>
              <w:keepLines/>
              <w:spacing w:after="0"/>
            </w:pPr>
            <w:r>
              <w:rPr>
                <w:sz w:val="16"/>
              </w:rPr>
              <w:t>Primary records presently prove Edward Alfred Davies; family/derivative material gives Edward Alfred Reginald Clarence Davies.</w:t>
            </w:r>
          </w:p>
        </w:tc>
        <w:tc>
          <w:tcPr>
            <w:tcW w:type="dxa" w:w="3168"/>
            <w:tcMar>
              <w:top w:w="80" w:type="dxa"/>
              <w:start w:w="80" w:type="dxa"/>
              <w:bottom w:w="80" w:type="dxa"/>
              <w:end w:w="80" w:type="dxa"/>
            </w:tcMar>
            <w:vAlign w:val="top"/>
          </w:tcPr>
          <w:p>
            <w:pPr>
              <w:keepLines/>
              <w:spacing w:after="0"/>
            </w:pPr>
            <w:r>
              <w:rPr>
                <w:sz w:val="16"/>
              </w:rPr>
              <w:t>Use Edward Alfred in source-level claims; retain full form as family-grade until a primary record gives all names.</w:t>
            </w:r>
          </w:p>
        </w:tc>
      </w:tr>
      <w:tr>
        <w:tc>
          <w:tcPr>
            <w:tcW w:type="dxa" w:w="2304"/>
            <w:tcMar>
              <w:top w:w="80" w:type="dxa"/>
              <w:start w:w="80" w:type="dxa"/>
              <w:bottom w:w="80" w:type="dxa"/>
              <w:end w:w="80" w:type="dxa"/>
            </w:tcMar>
            <w:vAlign w:val="top"/>
          </w:tcPr>
          <w:p>
            <w:pPr>
              <w:keepLines/>
              <w:spacing w:after="0"/>
            </w:pPr>
            <w:r>
              <w:rPr>
                <w:sz w:val="16"/>
              </w:rPr>
              <w:t>Ted’s 1905 birth</w:t>
            </w:r>
          </w:p>
        </w:tc>
        <w:tc>
          <w:tcPr>
            <w:tcW w:type="dxa" w:w="4896"/>
            <w:tcMar>
              <w:top w:w="80" w:type="dxa"/>
              <w:start w:w="80" w:type="dxa"/>
              <w:bottom w:w="80" w:type="dxa"/>
              <w:end w:w="80" w:type="dxa"/>
            </w:tcMar>
            <w:vAlign w:val="top"/>
          </w:tcPr>
          <w:p>
            <w:pPr>
              <w:keepLines/>
              <w:spacing w:after="0"/>
            </w:pPr>
            <w:r>
              <w:rPr>
                <w:sz w:val="16"/>
              </w:rPr>
              <w:t>6 Nov 1905 is strongly supported; direct baptism/birth image still wanted.</w:t>
            </w:r>
          </w:p>
        </w:tc>
        <w:tc>
          <w:tcPr>
            <w:tcW w:type="dxa" w:w="3168"/>
            <w:tcMar>
              <w:top w:w="80" w:type="dxa"/>
              <w:start w:w="80" w:type="dxa"/>
              <w:bottom w:w="80" w:type="dxa"/>
              <w:end w:w="80" w:type="dxa"/>
            </w:tcMar>
            <w:vAlign w:val="top"/>
          </w:tcPr>
          <w:p>
            <w:pPr>
              <w:keepLines/>
              <w:spacing w:after="0"/>
            </w:pPr>
            <w:r>
              <w:rPr>
                <w:sz w:val="16"/>
              </w:rPr>
              <w:t>Very high confidence, not fully closed.</w:t>
            </w:r>
          </w:p>
        </w:tc>
      </w:tr>
      <w:tr>
        <w:tc>
          <w:tcPr>
            <w:tcW w:type="dxa" w:w="2304"/>
            <w:tcMar>
              <w:top w:w="80" w:type="dxa"/>
              <w:start w:w="80" w:type="dxa"/>
              <w:bottom w:w="80" w:type="dxa"/>
              <w:end w:w="80" w:type="dxa"/>
            </w:tcMar>
            <w:vAlign w:val="top"/>
          </w:tcPr>
          <w:p>
            <w:pPr>
              <w:keepLines/>
              <w:spacing w:after="0"/>
            </w:pPr>
            <w:r>
              <w:rPr>
                <w:sz w:val="16"/>
              </w:rPr>
              <w:t>Alfred’s birthplace</w:t>
            </w:r>
          </w:p>
        </w:tc>
        <w:tc>
          <w:tcPr>
            <w:tcW w:type="dxa" w:w="4896"/>
            <w:tcMar>
              <w:top w:w="80" w:type="dxa"/>
              <w:start w:w="80" w:type="dxa"/>
              <w:bottom w:w="80" w:type="dxa"/>
              <w:end w:w="80" w:type="dxa"/>
            </w:tcMar>
            <w:vAlign w:val="top"/>
          </w:tcPr>
          <w:p>
            <w:pPr>
              <w:keepLines/>
              <w:spacing w:after="0"/>
            </w:pPr>
            <w:r>
              <w:rPr>
                <w:sz w:val="16"/>
              </w:rPr>
              <w:t>Census evidence favors England; family chart says Wales.</w:t>
            </w:r>
          </w:p>
        </w:tc>
        <w:tc>
          <w:tcPr>
            <w:tcW w:type="dxa" w:w="3168"/>
            <w:tcMar>
              <w:top w:w="80" w:type="dxa"/>
              <w:start w:w="80" w:type="dxa"/>
              <w:bottom w:w="80" w:type="dxa"/>
              <w:end w:w="80" w:type="dxa"/>
            </w:tcMar>
            <w:vAlign w:val="top"/>
          </w:tcPr>
          <w:p>
            <w:pPr>
              <w:keepLines/>
              <w:spacing w:after="0"/>
            </w:pPr>
            <w:r>
              <w:rPr>
                <w:sz w:val="16"/>
              </w:rPr>
              <w:t>Open conflict.</w:t>
            </w:r>
          </w:p>
        </w:tc>
      </w:tr>
      <w:tr>
        <w:tc>
          <w:tcPr>
            <w:tcW w:type="dxa" w:w="2304"/>
            <w:tcMar>
              <w:top w:w="80" w:type="dxa"/>
              <w:start w:w="80" w:type="dxa"/>
              <w:bottom w:w="80" w:type="dxa"/>
              <w:end w:w="80" w:type="dxa"/>
            </w:tcMar>
            <w:vAlign w:val="top"/>
          </w:tcPr>
          <w:p>
            <w:pPr>
              <w:keepLines/>
              <w:spacing w:after="0"/>
            </w:pPr>
            <w:r>
              <w:rPr>
                <w:sz w:val="16"/>
              </w:rPr>
              <w:t>1891 male infant</w:t>
            </w:r>
          </w:p>
        </w:tc>
        <w:tc>
          <w:tcPr>
            <w:tcW w:type="dxa" w:w="4896"/>
            <w:tcMar>
              <w:top w:w="80" w:type="dxa"/>
              <w:start w:w="80" w:type="dxa"/>
              <w:bottom w:w="80" w:type="dxa"/>
              <w:end w:w="80" w:type="dxa"/>
            </w:tcMar>
            <w:vAlign w:val="top"/>
          </w:tcPr>
          <w:p>
            <w:pPr>
              <w:keepLines/>
              <w:spacing w:after="0"/>
            </w:pPr>
            <w:r>
              <w:rPr>
                <w:sz w:val="16"/>
              </w:rPr>
              <w:t>A one-month-old son appears before Ted.</w:t>
            </w:r>
          </w:p>
        </w:tc>
        <w:tc>
          <w:tcPr>
            <w:tcW w:type="dxa" w:w="3168"/>
            <w:tcMar>
              <w:top w:w="80" w:type="dxa"/>
              <w:start w:w="80" w:type="dxa"/>
              <w:bottom w:w="80" w:type="dxa"/>
              <w:end w:w="80" w:type="dxa"/>
            </w:tcMar>
            <w:vAlign w:val="top"/>
          </w:tcPr>
          <w:p>
            <w:pPr>
              <w:keepLines/>
              <w:spacing w:after="0"/>
            </w:pPr>
            <w:r>
              <w:rPr>
                <w:sz w:val="16"/>
              </w:rPr>
              <w:t>Use “only known surviving son,” not “only son.”</w:t>
            </w:r>
          </w:p>
        </w:tc>
      </w:tr>
      <w:tr>
        <w:tc>
          <w:tcPr>
            <w:tcW w:type="dxa" w:w="2304"/>
            <w:tcMar>
              <w:top w:w="80" w:type="dxa"/>
              <w:start w:w="80" w:type="dxa"/>
              <w:bottom w:w="80" w:type="dxa"/>
              <w:end w:w="80" w:type="dxa"/>
            </w:tcMar>
            <w:vAlign w:val="top"/>
          </w:tcPr>
          <w:p>
            <w:pPr>
              <w:keepLines/>
              <w:spacing w:after="0"/>
            </w:pPr>
            <w:r>
              <w:rPr>
                <w:sz w:val="16"/>
              </w:rPr>
              <w:t>Violet’s names</w:t>
            </w:r>
          </w:p>
        </w:tc>
        <w:tc>
          <w:tcPr>
            <w:tcW w:type="dxa" w:w="4896"/>
            <w:tcMar>
              <w:top w:w="80" w:type="dxa"/>
              <w:start w:w="80" w:type="dxa"/>
              <w:bottom w:w="80" w:type="dxa"/>
              <w:end w:w="80" w:type="dxa"/>
            </w:tcMar>
            <w:vAlign w:val="top"/>
          </w:tcPr>
          <w:p>
            <w:pPr>
              <w:keepLines/>
              <w:spacing w:after="0"/>
            </w:pPr>
            <w:r>
              <w:rPr>
                <w:sz w:val="16"/>
              </w:rPr>
              <w:t>Violet Alberta / Violet B. / Bertha / Alberta / Violet Alice appear across records.</w:t>
            </w:r>
          </w:p>
        </w:tc>
        <w:tc>
          <w:tcPr>
            <w:tcW w:type="dxa" w:w="3168"/>
            <w:tcMar>
              <w:top w:w="80" w:type="dxa"/>
              <w:start w:w="80" w:type="dxa"/>
              <w:bottom w:w="80" w:type="dxa"/>
              <w:end w:w="80" w:type="dxa"/>
            </w:tcMar>
            <w:vAlign w:val="top"/>
          </w:tcPr>
          <w:p>
            <w:pPr>
              <w:keepLines/>
              <w:spacing w:after="0"/>
            </w:pPr>
            <w:r>
              <w:rPr>
                <w:sz w:val="16"/>
              </w:rPr>
              <w:t>Same woman at very high confidence; preserve variant forms.</w:t>
            </w:r>
          </w:p>
        </w:tc>
      </w:tr>
      <w:tr>
        <w:tc>
          <w:tcPr>
            <w:tcW w:type="dxa" w:w="2304"/>
            <w:tcMar>
              <w:top w:w="80" w:type="dxa"/>
              <w:start w:w="80" w:type="dxa"/>
              <w:bottom w:w="80" w:type="dxa"/>
              <w:end w:w="80" w:type="dxa"/>
            </w:tcMar>
            <w:vAlign w:val="top"/>
          </w:tcPr>
          <w:p>
            <w:pPr>
              <w:keepLines/>
              <w:spacing w:after="0"/>
            </w:pPr>
            <w:r>
              <w:rPr>
                <w:sz w:val="16"/>
              </w:rPr>
              <w:t>1920 “spinster” entry</w:t>
            </w:r>
          </w:p>
        </w:tc>
        <w:tc>
          <w:tcPr>
            <w:tcW w:type="dxa" w:w="4896"/>
            <w:tcMar>
              <w:top w:w="80" w:type="dxa"/>
              <w:start w:w="80" w:type="dxa"/>
              <w:bottom w:w="80" w:type="dxa"/>
              <w:end w:w="80" w:type="dxa"/>
            </w:tcMar>
            <w:vAlign w:val="top"/>
          </w:tcPr>
          <w:p>
            <w:pPr>
              <w:keepLines/>
              <w:spacing w:after="0"/>
            </w:pPr>
            <w:r>
              <w:rPr>
                <w:sz w:val="16"/>
              </w:rPr>
              <w:t>Conflicts with her 1918 Hall marriage and 1919 child.</w:t>
            </w:r>
          </w:p>
        </w:tc>
        <w:tc>
          <w:tcPr>
            <w:tcW w:type="dxa" w:w="3168"/>
            <w:tcMar>
              <w:top w:w="80" w:type="dxa"/>
              <w:start w:w="80" w:type="dxa"/>
              <w:bottom w:w="80" w:type="dxa"/>
              <w:end w:w="80" w:type="dxa"/>
            </w:tcMar>
            <w:vAlign w:val="top"/>
          </w:tcPr>
          <w:p>
            <w:pPr>
              <w:keepLines/>
              <w:spacing w:after="0"/>
            </w:pPr>
            <w:r>
              <w:rPr>
                <w:sz w:val="16"/>
              </w:rPr>
              <w:t>Do not explain without evidence; investigate Charles Hall.</w:t>
            </w:r>
          </w:p>
        </w:tc>
      </w:tr>
      <w:tr>
        <w:tc>
          <w:tcPr>
            <w:tcW w:type="dxa" w:w="2304"/>
            <w:tcMar>
              <w:top w:w="80" w:type="dxa"/>
              <w:start w:w="80" w:type="dxa"/>
              <w:bottom w:w="80" w:type="dxa"/>
              <w:end w:w="80" w:type="dxa"/>
            </w:tcMar>
            <w:vAlign w:val="top"/>
          </w:tcPr>
          <w:p>
            <w:pPr>
              <w:keepLines/>
              <w:spacing w:after="0"/>
            </w:pPr>
            <w:r>
              <w:rPr>
                <w:sz w:val="16"/>
              </w:rPr>
              <w:t>Who first took Ted after 1916?</w:t>
            </w:r>
          </w:p>
        </w:tc>
        <w:tc>
          <w:tcPr>
            <w:tcW w:type="dxa" w:w="4896"/>
            <w:tcMar>
              <w:top w:w="80" w:type="dxa"/>
              <w:start w:w="80" w:type="dxa"/>
              <w:bottom w:w="80" w:type="dxa"/>
              <w:end w:w="80" w:type="dxa"/>
            </w:tcMar>
            <w:vAlign w:val="top"/>
          </w:tcPr>
          <w:p>
            <w:pPr>
              <w:keepLines/>
              <w:spacing w:after="0"/>
            </w:pPr>
            <w:r>
              <w:rPr>
                <w:sz w:val="16"/>
              </w:rPr>
              <w:t>No guardianship record yet.</w:t>
            </w:r>
          </w:p>
        </w:tc>
        <w:tc>
          <w:tcPr>
            <w:tcW w:type="dxa" w:w="3168"/>
            <w:tcMar>
              <w:top w:w="80" w:type="dxa"/>
              <w:start w:w="80" w:type="dxa"/>
              <w:bottom w:w="80" w:type="dxa"/>
              <w:end w:w="80" w:type="dxa"/>
            </w:tcMar>
            <w:vAlign w:val="top"/>
          </w:tcPr>
          <w:p>
            <w:pPr>
              <w:keepLines/>
              <w:spacing w:after="0"/>
            </w:pPr>
            <w:r>
              <w:rPr>
                <w:sz w:val="16"/>
              </w:rPr>
              <w:t>Open; probate/guardianship is highest-value source class.</w:t>
            </w:r>
          </w:p>
        </w:tc>
      </w:tr>
      <w:tr>
        <w:tc>
          <w:tcPr>
            <w:tcW w:type="dxa" w:w="2304"/>
            <w:tcMar>
              <w:top w:w="80" w:type="dxa"/>
              <w:start w:w="80" w:type="dxa"/>
              <w:bottom w:w="80" w:type="dxa"/>
              <w:end w:w="80" w:type="dxa"/>
            </w:tcMar>
            <w:vAlign w:val="top"/>
          </w:tcPr>
          <w:p>
            <w:pPr>
              <w:keepLines/>
              <w:spacing w:after="0"/>
            </w:pPr>
            <w:r>
              <w:rPr>
                <w:sz w:val="16"/>
              </w:rPr>
              <w:t>“Sister to sister” sequence</w:t>
            </w:r>
          </w:p>
        </w:tc>
        <w:tc>
          <w:tcPr>
            <w:tcW w:type="dxa" w:w="4896"/>
            <w:tcMar>
              <w:top w:w="80" w:type="dxa"/>
              <w:start w:w="80" w:type="dxa"/>
              <w:bottom w:w="80" w:type="dxa"/>
              <w:end w:w="80" w:type="dxa"/>
            </w:tcMar>
            <w:vAlign w:val="top"/>
          </w:tcPr>
          <w:p>
            <w:pPr>
              <w:keepLines/>
              <w:spacing w:after="0"/>
            </w:pPr>
            <w:r>
              <w:rPr>
                <w:sz w:val="16"/>
              </w:rPr>
              <w:t>Family phrase; one placement is now documented.</w:t>
            </w:r>
          </w:p>
        </w:tc>
        <w:tc>
          <w:tcPr>
            <w:tcW w:type="dxa" w:w="3168"/>
            <w:tcMar>
              <w:top w:w="80" w:type="dxa"/>
              <w:start w:w="80" w:type="dxa"/>
              <w:bottom w:w="80" w:type="dxa"/>
              <w:end w:w="80" w:type="dxa"/>
            </w:tcMar>
            <w:vAlign w:val="top"/>
          </w:tcPr>
          <w:p>
            <w:pPr>
              <w:keepLines/>
              <w:spacing w:after="0"/>
            </w:pPr>
            <w:r>
              <w:rPr>
                <w:sz w:val="16"/>
              </w:rPr>
              <w:t>Plausible and partly corroborated, but no named sequence.</w:t>
            </w:r>
          </w:p>
        </w:tc>
      </w:tr>
      <w:tr>
        <w:tc>
          <w:tcPr>
            <w:tcW w:type="dxa" w:w="2304"/>
            <w:tcMar>
              <w:top w:w="80" w:type="dxa"/>
              <w:start w:w="80" w:type="dxa"/>
              <w:bottom w:w="80" w:type="dxa"/>
              <w:end w:w="80" w:type="dxa"/>
            </w:tcMar>
            <w:vAlign w:val="top"/>
          </w:tcPr>
          <w:p>
            <w:pPr>
              <w:keepLines/>
              <w:spacing w:after="0"/>
            </w:pPr>
            <w:r>
              <w:rPr>
                <w:sz w:val="16"/>
              </w:rPr>
              <w:t>Started sailing at 12–13</w:t>
            </w:r>
          </w:p>
        </w:tc>
        <w:tc>
          <w:tcPr>
            <w:tcW w:type="dxa" w:w="4896"/>
            <w:tcMar>
              <w:top w:w="80" w:type="dxa"/>
              <w:start w:w="80" w:type="dxa"/>
              <w:bottom w:w="80" w:type="dxa"/>
              <w:end w:w="80" w:type="dxa"/>
            </w:tcMar>
            <w:vAlign w:val="top"/>
          </w:tcPr>
          <w:p>
            <w:pPr>
              <w:keepLines/>
              <w:spacing w:after="0"/>
            </w:pPr>
            <w:r>
              <w:rPr>
                <w:sz w:val="16"/>
              </w:rPr>
              <w:t>Age was supplied by interviewer, not Ted Jr.</w:t>
            </w:r>
          </w:p>
        </w:tc>
        <w:tc>
          <w:tcPr>
            <w:tcW w:type="dxa" w:w="3168"/>
            <w:tcMar>
              <w:top w:w="80" w:type="dxa"/>
              <w:start w:w="80" w:type="dxa"/>
              <w:bottom w:w="80" w:type="dxa"/>
              <w:end w:w="80" w:type="dxa"/>
            </w:tcMar>
            <w:vAlign w:val="top"/>
          </w:tcPr>
          <w:p>
            <w:pPr>
              <w:keepLines/>
              <w:spacing w:after="0"/>
            </w:pPr>
            <w:r>
              <w:rPr>
                <w:sz w:val="16"/>
              </w:rPr>
              <w:t>Withdrawn as testimony.</w:t>
            </w:r>
          </w:p>
        </w:tc>
      </w:tr>
      <w:tr>
        <w:tc>
          <w:tcPr>
            <w:tcW w:type="dxa" w:w="2304"/>
            <w:tcMar>
              <w:top w:w="80" w:type="dxa"/>
              <w:start w:w="80" w:type="dxa"/>
              <w:bottom w:w="80" w:type="dxa"/>
              <w:end w:w="80" w:type="dxa"/>
            </w:tcMar>
            <w:vAlign w:val="top"/>
          </w:tcPr>
          <w:p>
            <w:pPr>
              <w:keepLines/>
              <w:spacing w:after="0"/>
            </w:pPr>
            <w:r>
              <w:rPr>
                <w:sz w:val="16"/>
              </w:rPr>
              <w:t>“Signed on in 1907”</w:t>
            </w:r>
          </w:p>
        </w:tc>
        <w:tc>
          <w:tcPr>
            <w:tcW w:type="dxa" w:w="4896"/>
            <w:tcMar>
              <w:top w:w="80" w:type="dxa"/>
              <w:start w:w="80" w:type="dxa"/>
              <w:bottom w:w="80" w:type="dxa"/>
              <w:end w:w="80" w:type="dxa"/>
            </w:tcMar>
            <w:vAlign w:val="top"/>
          </w:tcPr>
          <w:p>
            <w:pPr>
              <w:keepLines/>
              <w:spacing w:after="0"/>
            </w:pPr>
            <w:r>
              <w:rPr>
                <w:sz w:val="16"/>
              </w:rPr>
              <w:t>Printed in 1945 Review, incompatible with birth.</w:t>
            </w:r>
          </w:p>
        </w:tc>
        <w:tc>
          <w:tcPr>
            <w:tcW w:type="dxa" w:w="3168"/>
            <w:tcMar>
              <w:top w:w="80" w:type="dxa"/>
              <w:start w:w="80" w:type="dxa"/>
              <w:bottom w:w="80" w:type="dxa"/>
              <w:end w:w="80" w:type="dxa"/>
            </w:tcMar>
            <w:vAlign w:val="top"/>
          </w:tcPr>
          <w:p>
            <w:pPr>
              <w:keepLines/>
              <w:spacing w:after="0"/>
            </w:pPr>
            <w:r>
              <w:rPr>
                <w:sz w:val="16"/>
              </w:rPr>
              <w:t>Unresolved anomaly.</w:t>
            </w:r>
          </w:p>
        </w:tc>
      </w:tr>
    </w:tbl>
    <w:p>
      <w:pPr>
        <w:spacing w:after="0"/>
      </w:pPr>
    </w:p>
    <w:p>
      <w:pPr>
        <w:pStyle w:val="Heading1"/>
        <w:keepNext/>
      </w:pPr>
      <w:r>
        <w:t>18. Narrative-ready long-form account</w:t>
      </w:r>
    </w:p>
    <w:p>
      <w:r>
        <w:t>The following is intentionally fuller than the prose likely to appear in Robert’s main story. Its purpose is preservation: to keep the family reconstruction in readable form without overstating what the records can prove.</w:t>
      </w:r>
    </w:p>
    <w:p>
      <w:pPr>
        <w:spacing w:after="120"/>
        <w:ind w:firstLine="288"/>
      </w:pPr>
      <w:r>
        <w:t>Edward Alfred “Ted” Davies was born into a large Halifax family at the beginning of the twentieth century. His father, Alfred Davies, worked as a carpenter — a trade recorded in census material and remembered publicly after his death as that of a “well known carpenter.” His mother, Ellen, raised a household dominated by older daughters. A surviving family photograph from 1904 names Lottie, Laura, Nellie, May, Florence, Bertha and Alice. Ted had not yet been born. By 1911, however, the federal census still shows Alfred and Ellen together in Halifax with a young son in the household, placing Ted’s childhood firmly inside that family before everything changed a few years later.</w:t>
      </w:r>
    </w:p>
    <w:p>
      <w:pPr>
        <w:spacing w:after="120"/>
        <w:ind w:firstLine="288"/>
      </w:pPr>
      <w:r>
        <w:t>Alfred died in 1915. Ellen died in 1916. Ted was only about ten. Ellen’s obituary is unusually valuable because it captures the family at the moment of the second loss: the widow of Alfred the carpenter, living at 56 Tower Road, surrounded by a surviving group of married and unmarried daughters and a son recorded simply as Alfred. That name matters. Five years later, the census would again record a fifteen-year-old Alfred Davies, and Captain Ted’s documentary name was Edward Alfred Davies.</w:t>
      </w:r>
    </w:p>
    <w:p>
      <w:pPr>
        <w:spacing w:after="120"/>
        <w:ind w:firstLine="288"/>
      </w:pPr>
      <w:r>
        <w:t>Family memory held that the orphaned boy moved “from sister to sister for maybe a little while.” On its own, that would remain a moving but unverified family story. The records now give it substance. In 1918, one sister, Violet Alberta Davies, married Charles Michael Hall. Her marriage registration names her deceased parents as Alfred and Ellen and identifies Alfred’s occupation as carpenter. Florence Myrtle Davies stood as witness. A year later Violet gave birth to Roy Albert Hall at 25 Wellington Street. City directories then place a “Bertha Hall” at the same address, followed by a young chauffeur named Burton MacKenzie boarding there.</w:t>
      </w:r>
    </w:p>
    <w:p>
      <w:pPr>
        <w:spacing w:after="120"/>
        <w:ind w:firstLine="288"/>
      </w:pPr>
      <w:r>
        <w:t>In November 1920, Burton Ronald McKenzie married Violet Alice Hall. That marriage record contains awkward contradictions: it calls her a spinster, gives a different birthplace, and appears to turn her father into Alfred Hall rather than Alfred Davies. Those entries cannot simply be cleaned up. Yet the surrounding record trail is too dense to ignore. By 1 June 1921, Burton McKenzie was living at 46 Bland Street with his wife Alberta, a one-year-old son Ray, and a fifteen-year-old brother-in-law named Alfred Davies. Three weeks later, Ronald Edward McKenzie was born to Burton Ronald McKenzie and Violet Alice Hall; the birth registration says Ronald was his mother’s second living child. Ten years after that, the 1931 census shows Bert and Bertha McKenzie with sons Roy and Ronald in exactly the age order the earlier records predict.</w:t>
      </w:r>
    </w:p>
    <w:p>
      <w:pPr>
        <w:spacing w:after="120"/>
        <w:ind w:firstLine="288"/>
      </w:pPr>
      <w:r>
        <w:t>The result is not a perfect paper chain in which every clerk used the same first name. It is something more realistic: a woman who appears as Violet Alberta, Violet B., Bertha, Alberta and Violet Alice across civil, directory and census records, but whose children, husband, addresses and family relationships hold together. That chain identifies the 1921 Alberta McKenzie with very high confidence as Ted’s older sister. It also makes the fifteen-year-old Alfred at 46 Bland Street a powerful match to the orphaned Edward Alfred Davies. For the first time, the family can point to a specific household and say: by 1921, Ted was living with one of his sisters.</w:t>
      </w:r>
    </w:p>
    <w:p>
      <w:pPr>
        <w:spacing w:after="120"/>
        <w:ind w:firstLine="288"/>
      </w:pPr>
      <w:r>
        <w:t>Exactly what happened in the five years between Ellen’s death and that census remains the central gap. No surviving record yet tells us who first took responsibility for him in 1916, whether a guardian was formally appointed, or whether he moved through several sisters’ homes. But the wider family network was real. Ted Jr. later remembered a paternal aunt in Spryfield, married name McNeil, whom his parents visited often and who remained close to them. He remembered the family walking several miles to visit. Florence appears independently in the 1918 marriage record. Period addresses at 25 Wellington and 55 Cunard may point to Kirby and Turner sister households as well, though those identifications still need marriage or death records before they can be stated as fact.</w:t>
      </w:r>
    </w:p>
    <w:p>
      <w:pPr>
        <w:spacing w:after="120"/>
        <w:ind w:firstLine="288"/>
      </w:pPr>
      <w:r>
        <w:t>This makes the safest picture of Ted’s adolescence one of family continuity rather than institutional disappearance. He lost both parents young, but he did not vanish from the family record. By fifteen he was inside an older sister’s household, and the surviving evidence suggests a web of sisters who remained connected to one another and to him. The exact route through that web is unfinished research, not a blank that should be filled with invention.</w:t>
      </w:r>
    </w:p>
    <w:p>
      <w:pPr>
        <w:spacing w:after="120"/>
        <w:ind w:firstLine="288"/>
      </w:pPr>
      <w:r>
        <w:t>Ted’s later maritime life makes the childhood story more striking. The Winter 1945 Imperial Oil Review identified Captain E. A. Davies as master of S.S. Sarnolite and credited him with commodoring seventeen convoys. The official Canada Gazette independently named Captain Edward Alfred Davies as an Officer of the Order of the British Empire. The boy who had lost both parents before adolescence had become a wartime merchant master entrusted with convoy leadership.</w:t>
      </w:r>
    </w:p>
    <w:p>
      <w:pPr>
        <w:spacing w:after="120"/>
        <w:ind w:firstLine="288"/>
      </w:pPr>
      <w:r>
        <w:t>There is also an intergenerational connection to Robert’s story. Sarnolite, Official No. 134515, later became Imperial Hamilton. In the summer of 1955, Robert James Davies — Ted’s son — signed aboard Imperial Hamilton under that same official number. The records therefore support a remarkable but precise statement: Robert’s final high-school summer at sea was spent aboard the same hull his father had commanded a decade earlier as Sarnolite. What they do not prove is that Ted still commanded the vessel when Robert sailed on her. The significance lies in the hull and the family continuity, not in an invented father-and-son overlap.</w:t>
      </w:r>
    </w:p>
    <w:p>
      <w:pPr>
        <w:spacing w:after="120"/>
        <w:ind w:firstLine="288"/>
      </w:pPr>
      <w:r>
        <w:t>If no further research is ever completed, the record is already substantially better than family memory alone. We can say that Ted was orphaned around ten; that his older sisters formed an active Halifax family network; that at least one of those sisters took him into her household by 1921; that those sibling relationships endured into his married life; and that he rose from that difficult beginning to a documented career as a decorated wartime master. What remains unfinished is narrower: the identity of his immediate caregiver after 1916, the legal status of any guardianship, and the exact sequence of homes before the 1921 census.</w:t>
      </w:r>
    </w:p>
    <w:p>
      <w:pPr>
        <w:pStyle w:val="Heading1"/>
        <w:keepNext/>
      </w:pPr>
      <w:r>
        <w:t>19. Research priorities if work resumes</w:t>
      </w:r>
    </w:p>
    <w:p>
      <w:r>
        <w:t>These are ranked by what they would add to the story, not by general genealogical completeness.</w:t>
      </w:r>
    </w:p>
    <w:tbl>
      <w:tblPr>
        <w:tblStyle w:val="TableGrid"/>
        <w:tblW w:type="auto" w:w="0"/>
        <w:jc w:val="center"/>
        <w:tblLook w:firstColumn="1" w:firstRow="1" w:lastColumn="0" w:lastRow="0" w:noHBand="0" w:noVBand="1" w:val="04A0"/>
      </w:tblPr>
      <w:tblGrid>
        <w:gridCol w:w="2484"/>
        <w:gridCol w:w="2484"/>
        <w:gridCol w:w="2484"/>
        <w:gridCol w:w="2484"/>
      </w:tblGrid>
      <w:tr>
        <w:trPr>
          <w:tblHeader w:val="true"/>
        </w:trPr>
        <w:tc>
          <w:tcPr>
            <w:tcW w:type="dxa" w:w="864"/>
            <w:shd w:fill="17365D"/>
            <w:tcMar>
              <w:top w:w="80" w:type="dxa"/>
              <w:start w:w="80" w:type="dxa"/>
              <w:bottom w:w="80" w:type="dxa"/>
              <w:end w:w="80" w:type="dxa"/>
            </w:tcMar>
          </w:tcPr>
          <w:p>
            <w:pPr>
              <w:keepLines/>
            </w:pPr>
            <w:r>
              <w:rPr>
                <w:b/>
                <w:color w:val="FFFFFF"/>
                <w:sz w:val="16"/>
              </w:rPr>
              <w:t>Priority</w:t>
            </w:r>
          </w:p>
        </w:tc>
        <w:tc>
          <w:tcPr>
            <w:tcW w:type="dxa" w:w="3096"/>
            <w:shd w:fill="17365D"/>
            <w:tcMar>
              <w:top w:w="80" w:type="dxa"/>
              <w:start w:w="80" w:type="dxa"/>
              <w:bottom w:w="80" w:type="dxa"/>
              <w:end w:w="80" w:type="dxa"/>
            </w:tcMar>
          </w:tcPr>
          <w:p>
            <w:pPr>
              <w:keepLines/>
            </w:pPr>
            <w:r>
              <w:rPr>
                <w:b/>
                <w:color w:val="FFFFFF"/>
                <w:sz w:val="16"/>
              </w:rPr>
              <w:t>Target</w:t>
            </w:r>
          </w:p>
        </w:tc>
        <w:tc>
          <w:tcPr>
            <w:tcW w:type="dxa" w:w="4824"/>
            <w:shd w:fill="17365D"/>
            <w:tcMar>
              <w:top w:w="80" w:type="dxa"/>
              <w:start w:w="80" w:type="dxa"/>
              <w:bottom w:w="80" w:type="dxa"/>
              <w:end w:w="80" w:type="dxa"/>
            </w:tcMar>
          </w:tcPr>
          <w:p>
            <w:pPr>
              <w:keepLines/>
            </w:pPr>
            <w:r>
              <w:rPr>
                <w:b/>
                <w:color w:val="FFFFFF"/>
                <w:sz w:val="16"/>
              </w:rPr>
              <w:t>Why it matters</w:t>
            </w:r>
          </w:p>
        </w:tc>
        <w:tc>
          <w:tcPr>
            <w:tcW w:type="dxa" w:w="1944"/>
            <w:shd w:fill="17365D"/>
            <w:tcMar>
              <w:top w:w="80" w:type="dxa"/>
              <w:start w:w="80" w:type="dxa"/>
              <w:bottom w:w="80" w:type="dxa"/>
              <w:end w:w="80" w:type="dxa"/>
            </w:tcMar>
          </w:tcPr>
          <w:p>
            <w:pPr>
              <w:keepLines/>
            </w:pPr>
            <w:r>
              <w:rPr>
                <w:b/>
                <w:color w:val="FFFFFF"/>
                <w:sz w:val="16"/>
              </w:rPr>
              <w:t>Best owner</w:t>
            </w:r>
          </w:p>
        </w:tc>
      </w:tr>
      <w:tr>
        <w:tc>
          <w:tcPr>
            <w:tcW w:type="dxa" w:w="864"/>
            <w:tcMar>
              <w:top w:w="80" w:type="dxa"/>
              <w:start w:w="80" w:type="dxa"/>
              <w:bottom w:w="80" w:type="dxa"/>
              <w:end w:w="80" w:type="dxa"/>
            </w:tcMar>
            <w:vAlign w:val="top"/>
          </w:tcPr>
          <w:p>
            <w:pPr>
              <w:keepLines/>
              <w:spacing w:after="0"/>
            </w:pPr>
            <w:r>
              <w:rPr>
                <w:sz w:val="16"/>
              </w:rPr>
              <w:t>1A</w:t>
            </w:r>
          </w:p>
        </w:tc>
        <w:tc>
          <w:tcPr>
            <w:tcW w:type="dxa" w:w="3096"/>
            <w:tcMar>
              <w:top w:w="80" w:type="dxa"/>
              <w:start w:w="80" w:type="dxa"/>
              <w:bottom w:w="80" w:type="dxa"/>
              <w:end w:w="80" w:type="dxa"/>
            </w:tcMar>
            <w:vAlign w:val="top"/>
          </w:tcPr>
          <w:p>
            <w:pPr>
              <w:keepLines/>
              <w:spacing w:after="0"/>
            </w:pPr>
            <w:r>
              <w:rPr>
                <w:sz w:val="16"/>
              </w:rPr>
              <w:t>Halifax probate / administration / guardianship, Alfred (1915) and Ellen (1916)</w:t>
            </w:r>
          </w:p>
        </w:tc>
        <w:tc>
          <w:tcPr>
            <w:tcW w:type="dxa" w:w="4824"/>
            <w:tcMar>
              <w:top w:w="80" w:type="dxa"/>
              <w:start w:w="80" w:type="dxa"/>
              <w:bottom w:w="80" w:type="dxa"/>
              <w:end w:w="80" w:type="dxa"/>
            </w:tcMar>
            <w:vAlign w:val="top"/>
          </w:tcPr>
          <w:p>
            <w:pPr>
              <w:keepLines/>
              <w:spacing w:after="0"/>
            </w:pPr>
            <w:r>
              <w:rPr>
                <w:sz w:val="16"/>
              </w:rPr>
              <w:t>Could directly identify a guardian, administrator, or arrangements for minor Edward/Alfred.</w:t>
            </w:r>
          </w:p>
        </w:tc>
        <w:tc>
          <w:tcPr>
            <w:tcW w:type="dxa" w:w="1944"/>
            <w:tcMar>
              <w:top w:w="80" w:type="dxa"/>
              <w:start w:w="80" w:type="dxa"/>
              <w:bottom w:w="80" w:type="dxa"/>
              <w:end w:w="80" w:type="dxa"/>
            </w:tcMar>
            <w:vAlign w:val="top"/>
          </w:tcPr>
          <w:p>
            <w:pPr>
              <w:keepLines/>
              <w:spacing w:after="0"/>
            </w:pPr>
            <w:r>
              <w:rPr>
                <w:sz w:val="16"/>
              </w:rPr>
              <w:t>Brian retrieval + ChatGPT finding-aid work</w:t>
            </w:r>
          </w:p>
        </w:tc>
      </w:tr>
      <w:tr>
        <w:tc>
          <w:tcPr>
            <w:tcW w:type="dxa" w:w="864"/>
            <w:tcMar>
              <w:top w:w="80" w:type="dxa"/>
              <w:start w:w="80" w:type="dxa"/>
              <w:bottom w:w="80" w:type="dxa"/>
              <w:end w:w="80" w:type="dxa"/>
            </w:tcMar>
            <w:vAlign w:val="top"/>
          </w:tcPr>
          <w:p>
            <w:pPr>
              <w:keepLines/>
              <w:spacing w:after="0"/>
            </w:pPr>
            <w:r>
              <w:rPr>
                <w:sz w:val="16"/>
              </w:rPr>
              <w:t>1B</w:t>
            </w:r>
          </w:p>
        </w:tc>
        <w:tc>
          <w:tcPr>
            <w:tcW w:type="dxa" w:w="3096"/>
            <w:tcMar>
              <w:top w:w="80" w:type="dxa"/>
              <w:start w:w="80" w:type="dxa"/>
              <w:bottom w:w="80" w:type="dxa"/>
              <w:end w:w="80" w:type="dxa"/>
            </w:tcMar>
            <w:vAlign w:val="top"/>
          </w:tcPr>
          <w:p>
            <w:pPr>
              <w:keepLines/>
              <w:spacing w:after="0"/>
            </w:pPr>
            <w:r>
              <w:rPr>
                <w:sz w:val="16"/>
              </w:rPr>
              <w:t>Charles Michael Hall, 1918–1920: CEF file + NS death search</w:t>
            </w:r>
          </w:p>
        </w:tc>
        <w:tc>
          <w:tcPr>
            <w:tcW w:type="dxa" w:w="4824"/>
            <w:tcMar>
              <w:top w:w="80" w:type="dxa"/>
              <w:start w:w="80" w:type="dxa"/>
              <w:bottom w:w="80" w:type="dxa"/>
              <w:end w:w="80" w:type="dxa"/>
            </w:tcMar>
            <w:vAlign w:val="top"/>
          </w:tcPr>
          <w:p>
            <w:pPr>
              <w:keepLines/>
              <w:spacing w:after="0"/>
            </w:pPr>
            <w:r>
              <w:rPr>
                <w:sz w:val="16"/>
              </w:rPr>
              <w:t>Could explain the 1920 remarriage and “spinster” contradiction without speculation.</w:t>
            </w:r>
          </w:p>
        </w:tc>
        <w:tc>
          <w:tcPr>
            <w:tcW w:type="dxa" w:w="1944"/>
            <w:tcMar>
              <w:top w:w="80" w:type="dxa"/>
              <w:start w:w="80" w:type="dxa"/>
              <w:bottom w:w="80" w:type="dxa"/>
              <w:end w:w="80" w:type="dxa"/>
            </w:tcMar>
            <w:vAlign w:val="top"/>
          </w:tcPr>
          <w:p>
            <w:pPr>
              <w:keepLines/>
              <w:spacing w:after="0"/>
            </w:pPr>
            <w:r>
              <w:rPr>
                <w:sz w:val="16"/>
              </w:rPr>
              <w:t>ChatGPT public search + Brian archive retrieval if needed</w:t>
            </w:r>
          </w:p>
        </w:tc>
      </w:tr>
      <w:tr>
        <w:tc>
          <w:tcPr>
            <w:tcW w:type="dxa" w:w="864"/>
            <w:tcMar>
              <w:top w:w="80" w:type="dxa"/>
              <w:start w:w="80" w:type="dxa"/>
              <w:bottom w:w="80" w:type="dxa"/>
              <w:end w:w="80" w:type="dxa"/>
            </w:tcMar>
            <w:vAlign w:val="top"/>
          </w:tcPr>
          <w:p>
            <w:pPr>
              <w:keepLines/>
              <w:spacing w:after="0"/>
            </w:pPr>
            <w:r>
              <w:rPr>
                <w:sz w:val="16"/>
              </w:rPr>
              <w:t>2</w:t>
            </w:r>
          </w:p>
        </w:tc>
        <w:tc>
          <w:tcPr>
            <w:tcW w:type="dxa" w:w="3096"/>
            <w:tcMar>
              <w:top w:w="80" w:type="dxa"/>
              <w:start w:w="80" w:type="dxa"/>
              <w:bottom w:w="80" w:type="dxa"/>
              <w:end w:w="80" w:type="dxa"/>
            </w:tcMar>
            <w:vAlign w:val="top"/>
          </w:tcPr>
          <w:p>
            <w:pPr>
              <w:keepLines/>
              <w:spacing w:after="0"/>
            </w:pPr>
            <w:r>
              <w:rPr>
                <w:sz w:val="16"/>
              </w:rPr>
              <w:t>Edward/Alfred Davies baptism or birth, late 1905; St. Paul’s microfilm 11555</w:t>
            </w:r>
          </w:p>
        </w:tc>
        <w:tc>
          <w:tcPr>
            <w:tcW w:type="dxa" w:w="4824"/>
            <w:tcMar>
              <w:top w:w="80" w:type="dxa"/>
              <w:start w:w="80" w:type="dxa"/>
              <w:bottom w:w="80" w:type="dxa"/>
              <w:end w:w="80" w:type="dxa"/>
            </w:tcMar>
            <w:vAlign w:val="top"/>
          </w:tcPr>
          <w:p>
            <w:pPr>
              <w:keepLines/>
              <w:spacing w:after="0"/>
            </w:pPr>
            <w:r>
              <w:rPr>
                <w:sz w:val="16"/>
              </w:rPr>
              <w:t>Formally closes parentage, name continuity and exact birth details.</w:t>
            </w:r>
          </w:p>
        </w:tc>
        <w:tc>
          <w:tcPr>
            <w:tcW w:type="dxa" w:w="1944"/>
            <w:tcMar>
              <w:top w:w="80" w:type="dxa"/>
              <w:start w:w="80" w:type="dxa"/>
              <w:bottom w:w="80" w:type="dxa"/>
              <w:end w:w="80" w:type="dxa"/>
            </w:tcMar>
            <w:vAlign w:val="top"/>
          </w:tcPr>
          <w:p>
            <w:pPr>
              <w:keepLines/>
              <w:spacing w:after="0"/>
            </w:pPr>
            <w:r>
              <w:rPr>
                <w:sz w:val="16"/>
              </w:rPr>
              <w:t>Brian / archives</w:t>
            </w:r>
          </w:p>
        </w:tc>
      </w:tr>
      <w:tr>
        <w:tc>
          <w:tcPr>
            <w:tcW w:type="dxa" w:w="864"/>
            <w:tcMar>
              <w:top w:w="80" w:type="dxa"/>
              <w:start w:w="80" w:type="dxa"/>
              <w:bottom w:w="80" w:type="dxa"/>
              <w:end w:w="80" w:type="dxa"/>
            </w:tcMar>
            <w:vAlign w:val="top"/>
          </w:tcPr>
          <w:p>
            <w:pPr>
              <w:keepLines/>
              <w:spacing w:after="0"/>
            </w:pPr>
            <w:r>
              <w:rPr>
                <w:sz w:val="16"/>
              </w:rPr>
              <w:t>3</w:t>
            </w:r>
          </w:p>
        </w:tc>
        <w:tc>
          <w:tcPr>
            <w:tcW w:type="dxa" w:w="3096"/>
            <w:tcMar>
              <w:top w:w="80" w:type="dxa"/>
              <w:start w:w="80" w:type="dxa"/>
              <w:bottom w:w="80" w:type="dxa"/>
              <w:end w:w="80" w:type="dxa"/>
            </w:tcMar>
            <w:vAlign w:val="top"/>
          </w:tcPr>
          <w:p>
            <w:pPr>
              <w:keepLines/>
              <w:spacing w:after="0"/>
            </w:pPr>
            <w:r>
              <w:rPr>
                <w:sz w:val="16"/>
              </w:rPr>
              <w:t>Nellie/McNeil marriage and 1950 Spryfield death</w:t>
            </w:r>
          </w:p>
        </w:tc>
        <w:tc>
          <w:tcPr>
            <w:tcW w:type="dxa" w:w="4824"/>
            <w:tcMar>
              <w:top w:w="80" w:type="dxa"/>
              <w:start w:w="80" w:type="dxa"/>
              <w:bottom w:w="80" w:type="dxa"/>
              <w:end w:w="80" w:type="dxa"/>
            </w:tcMar>
            <w:vAlign w:val="top"/>
          </w:tcPr>
          <w:p>
            <w:pPr>
              <w:keepLines/>
              <w:spacing w:after="0"/>
            </w:pPr>
            <w:r>
              <w:rPr>
                <w:sz w:val="16"/>
              </w:rPr>
              <w:t>Could identify the aunt remembered by Ted Jr. and add another proven sister node.</w:t>
            </w:r>
          </w:p>
        </w:tc>
        <w:tc>
          <w:tcPr>
            <w:tcW w:type="dxa" w:w="1944"/>
            <w:tcMar>
              <w:top w:w="80" w:type="dxa"/>
              <w:start w:w="80" w:type="dxa"/>
              <w:bottom w:w="80" w:type="dxa"/>
              <w:end w:w="80" w:type="dxa"/>
            </w:tcMar>
            <w:vAlign w:val="top"/>
          </w:tcPr>
          <w:p>
            <w:pPr>
              <w:keepLines/>
              <w:spacing w:after="0"/>
            </w:pPr>
            <w:r>
              <w:rPr>
                <w:sz w:val="16"/>
              </w:rPr>
              <w:t>Brian + ChatGPT</w:t>
            </w:r>
          </w:p>
        </w:tc>
      </w:tr>
      <w:tr>
        <w:tc>
          <w:tcPr>
            <w:tcW w:type="dxa" w:w="864"/>
            <w:tcMar>
              <w:top w:w="80" w:type="dxa"/>
              <w:start w:w="80" w:type="dxa"/>
              <w:bottom w:w="80" w:type="dxa"/>
              <w:end w:w="80" w:type="dxa"/>
            </w:tcMar>
            <w:vAlign w:val="top"/>
          </w:tcPr>
          <w:p>
            <w:pPr>
              <w:keepLines/>
              <w:spacing w:after="0"/>
            </w:pPr>
            <w:r>
              <w:rPr>
                <w:sz w:val="16"/>
              </w:rPr>
              <w:t>4</w:t>
            </w:r>
          </w:p>
        </w:tc>
        <w:tc>
          <w:tcPr>
            <w:tcW w:type="dxa" w:w="3096"/>
            <w:tcMar>
              <w:top w:w="80" w:type="dxa"/>
              <w:start w:w="80" w:type="dxa"/>
              <w:bottom w:w="80" w:type="dxa"/>
              <w:end w:w="80" w:type="dxa"/>
            </w:tcMar>
            <w:vAlign w:val="top"/>
          </w:tcPr>
          <w:p>
            <w:pPr>
              <w:keepLines/>
              <w:spacing w:after="0"/>
            </w:pPr>
            <w:r>
              <w:rPr>
                <w:sz w:val="16"/>
              </w:rPr>
              <w:t>Joseph Kirby and Christopher C. Turner marriage/death records</w:t>
            </w:r>
          </w:p>
        </w:tc>
        <w:tc>
          <w:tcPr>
            <w:tcW w:type="dxa" w:w="4824"/>
            <w:tcMar>
              <w:top w:w="80" w:type="dxa"/>
              <w:start w:w="80" w:type="dxa"/>
              <w:bottom w:w="80" w:type="dxa"/>
              <w:end w:w="80" w:type="dxa"/>
            </w:tcMar>
            <w:vAlign w:val="top"/>
          </w:tcPr>
          <w:p>
            <w:pPr>
              <w:keepLines/>
              <w:spacing w:after="0"/>
            </w:pPr>
            <w:r>
              <w:rPr>
                <w:sz w:val="16"/>
              </w:rPr>
              <w:t>Tests whether 25 Wellington and 55 Cunard were sister households.</w:t>
            </w:r>
          </w:p>
        </w:tc>
        <w:tc>
          <w:tcPr>
            <w:tcW w:type="dxa" w:w="1944"/>
            <w:tcMar>
              <w:top w:w="80" w:type="dxa"/>
              <w:start w:w="80" w:type="dxa"/>
              <w:bottom w:w="80" w:type="dxa"/>
              <w:end w:w="80" w:type="dxa"/>
            </w:tcMar>
            <w:vAlign w:val="top"/>
          </w:tcPr>
          <w:p>
            <w:pPr>
              <w:keepLines/>
              <w:spacing w:after="0"/>
            </w:pPr>
            <w:r>
              <w:rPr>
                <w:sz w:val="16"/>
              </w:rPr>
              <w:t>ChatGPT + Brian where images require login</w:t>
            </w:r>
          </w:p>
        </w:tc>
      </w:tr>
      <w:tr>
        <w:tc>
          <w:tcPr>
            <w:tcW w:type="dxa" w:w="864"/>
            <w:tcMar>
              <w:top w:w="80" w:type="dxa"/>
              <w:start w:w="80" w:type="dxa"/>
              <w:bottom w:w="80" w:type="dxa"/>
              <w:end w:w="80" w:type="dxa"/>
            </w:tcMar>
            <w:vAlign w:val="top"/>
          </w:tcPr>
          <w:p>
            <w:pPr>
              <w:keepLines/>
              <w:spacing w:after="0"/>
            </w:pPr>
            <w:r>
              <w:rPr>
                <w:sz w:val="16"/>
              </w:rPr>
              <w:t>5</w:t>
            </w:r>
          </w:p>
        </w:tc>
        <w:tc>
          <w:tcPr>
            <w:tcW w:type="dxa" w:w="3096"/>
            <w:tcMar>
              <w:top w:w="80" w:type="dxa"/>
              <w:start w:w="80" w:type="dxa"/>
              <w:bottom w:w="80" w:type="dxa"/>
              <w:end w:w="80" w:type="dxa"/>
            </w:tcMar>
            <w:vAlign w:val="top"/>
          </w:tcPr>
          <w:p>
            <w:pPr>
              <w:keepLines/>
              <w:spacing w:after="0"/>
            </w:pPr>
            <w:r>
              <w:rPr>
                <w:sz w:val="16"/>
              </w:rPr>
              <w:t>1915–1922 McAlpine address matrix for all sisters</w:t>
            </w:r>
          </w:p>
        </w:tc>
        <w:tc>
          <w:tcPr>
            <w:tcW w:type="dxa" w:w="4824"/>
            <w:tcMar>
              <w:top w:w="80" w:type="dxa"/>
              <w:start w:w="80" w:type="dxa"/>
              <w:bottom w:w="80" w:type="dxa"/>
              <w:end w:w="80" w:type="dxa"/>
            </w:tcMar>
            <w:vAlign w:val="top"/>
          </w:tcPr>
          <w:p>
            <w:pPr>
              <w:keepLines/>
              <w:spacing w:after="0"/>
            </w:pPr>
            <w:r>
              <w:rPr>
                <w:sz w:val="16"/>
              </w:rPr>
              <w:t>Could recover a movement sequence even if no guardianship file survives.</w:t>
            </w:r>
          </w:p>
        </w:tc>
        <w:tc>
          <w:tcPr>
            <w:tcW w:type="dxa" w:w="1944"/>
            <w:tcMar>
              <w:top w:w="80" w:type="dxa"/>
              <w:start w:w="80" w:type="dxa"/>
              <w:bottom w:w="80" w:type="dxa"/>
              <w:end w:w="80" w:type="dxa"/>
            </w:tcMar>
            <w:vAlign w:val="top"/>
          </w:tcPr>
          <w:p>
            <w:pPr>
              <w:keepLines/>
              <w:spacing w:after="0"/>
            </w:pPr>
            <w:r>
              <w:rPr>
                <w:sz w:val="16"/>
              </w:rPr>
              <w:t>ChatGPT</w:t>
            </w:r>
          </w:p>
        </w:tc>
      </w:tr>
      <w:tr>
        <w:tc>
          <w:tcPr>
            <w:tcW w:type="dxa" w:w="864"/>
            <w:tcMar>
              <w:top w:w="80" w:type="dxa"/>
              <w:start w:w="80" w:type="dxa"/>
              <w:bottom w:w="80" w:type="dxa"/>
              <w:end w:w="80" w:type="dxa"/>
            </w:tcMar>
            <w:vAlign w:val="top"/>
          </w:tcPr>
          <w:p>
            <w:pPr>
              <w:keepLines/>
              <w:spacing w:after="0"/>
            </w:pPr>
            <w:r>
              <w:rPr>
                <w:sz w:val="16"/>
              </w:rPr>
              <w:t>6</w:t>
            </w:r>
          </w:p>
        </w:tc>
        <w:tc>
          <w:tcPr>
            <w:tcW w:type="dxa" w:w="3096"/>
            <w:tcMar>
              <w:top w:w="80" w:type="dxa"/>
              <w:start w:w="80" w:type="dxa"/>
              <w:bottom w:w="80" w:type="dxa"/>
              <w:end w:w="80" w:type="dxa"/>
            </w:tcMar>
            <w:vAlign w:val="top"/>
          </w:tcPr>
          <w:p>
            <w:pPr>
              <w:keepLines/>
              <w:spacing w:after="0"/>
            </w:pPr>
            <w:r>
              <w:rPr>
                <w:sz w:val="16"/>
              </w:rPr>
              <w:t>Master/seaman certificate file for Edward Alfred Davies</w:t>
            </w:r>
          </w:p>
        </w:tc>
        <w:tc>
          <w:tcPr>
            <w:tcW w:type="dxa" w:w="4824"/>
            <w:tcMar>
              <w:top w:w="80" w:type="dxa"/>
              <w:start w:w="80" w:type="dxa"/>
              <w:bottom w:w="80" w:type="dxa"/>
              <w:end w:w="80" w:type="dxa"/>
            </w:tcMar>
            <w:vAlign w:val="top"/>
          </w:tcPr>
          <w:p>
            <w:pPr>
              <w:keepLines/>
              <w:spacing w:after="0"/>
            </w:pPr>
            <w:r>
              <w:rPr>
                <w:sz w:val="16"/>
              </w:rPr>
              <w:t>May resolve the 1907 anomaly and document the school-to-sea transition.</w:t>
            </w:r>
          </w:p>
        </w:tc>
        <w:tc>
          <w:tcPr>
            <w:tcW w:type="dxa" w:w="1944"/>
            <w:tcMar>
              <w:top w:w="80" w:type="dxa"/>
              <w:start w:w="80" w:type="dxa"/>
              <w:bottom w:w="80" w:type="dxa"/>
              <w:end w:w="80" w:type="dxa"/>
            </w:tcMar>
            <w:vAlign w:val="top"/>
          </w:tcPr>
          <w:p>
            <w:pPr>
              <w:keepLines/>
              <w:spacing w:after="0"/>
            </w:pPr>
            <w:r>
              <w:rPr>
                <w:sz w:val="16"/>
              </w:rPr>
              <w:t>Archives / LAC</w:t>
            </w:r>
          </w:p>
        </w:tc>
      </w:tr>
    </w:tbl>
    <w:p>
      <w:pPr>
        <w:spacing w:after="0"/>
      </w:pPr>
    </w:p>
    <w:p>
      <w:pPr>
        <w:pStyle w:val="Heading2"/>
        <w:keepNext/>
      </w:pPr>
      <w:r>
        <w:t>Open-ended family interview protocol</w:t>
      </w:r>
    </w:p>
    <w:p>
      <w:r>
        <w:t>If Diane or another family witness is asked, begin without supplying the answer:</w:t>
      </w:r>
    </w:p>
    <w:p>
      <w:pPr>
        <w:pStyle w:val="ListNumber"/>
        <w:spacing w:after="60"/>
      </w:pPr>
      <w:r>
        <w:t>“Which of Dad’s sisters do you remember, and where did they live?”</w:t>
      </w:r>
    </w:p>
    <w:p>
      <w:pPr>
        <w:pStyle w:val="ListNumber"/>
        <w:spacing w:after="60"/>
      </w:pPr>
      <w:r>
        <w:t>“Which of them did your parents see most often?”</w:t>
      </w:r>
    </w:p>
    <w:p>
      <w:pPr>
        <w:pStyle w:val="ListNumber"/>
        <w:spacing w:after="60"/>
      </w:pPr>
      <w:r>
        <w:t>“Did you ever hear Dad talk about where he lived after his parents died?”</w:t>
      </w:r>
    </w:p>
    <w:p>
      <w:pPr>
        <w:pStyle w:val="ListNumber"/>
        <w:spacing w:after="60"/>
      </w:pPr>
      <w:r>
        <w:t>Only after free recall: “Do Spryfield or the name McNeil mean anything to you?”</w:t>
      </w:r>
    </w:p>
    <w:p>
      <w:r>
        <w:t>This order preserves evidentiary value by avoiding unnecessary prompting.</w:t>
      </w:r>
    </w:p>
    <w:p>
      <w:pPr>
        <w:pStyle w:val="Heading1"/>
        <w:keepNext/>
      </w:pPr>
      <w:r>
        <w:t>20. Source register and evidence grades</w:t>
      </w:r>
    </w:p>
    <w:tbl>
      <w:tblPr>
        <w:tblStyle w:val="TableGrid"/>
        <w:tblW w:type="auto" w:w="0"/>
        <w:jc w:val="center"/>
        <w:tblLook w:firstColumn="1" w:firstRow="1" w:lastColumn="0" w:lastRow="0" w:noHBand="0" w:noVBand="1" w:val="04A0"/>
      </w:tblPr>
      <w:tblGrid>
        <w:gridCol w:w="2484"/>
        <w:gridCol w:w="2484"/>
        <w:gridCol w:w="2484"/>
        <w:gridCol w:w="2484"/>
      </w:tblGrid>
      <w:tr>
        <w:trPr>
          <w:tblHeader w:val="true"/>
        </w:trPr>
        <w:tc>
          <w:tcPr>
            <w:tcW w:type="dxa" w:w="648"/>
            <w:shd w:fill="17365D"/>
            <w:tcMar>
              <w:top w:w="80" w:type="dxa"/>
              <w:start w:w="80" w:type="dxa"/>
              <w:bottom w:w="80" w:type="dxa"/>
              <w:end w:w="80" w:type="dxa"/>
            </w:tcMar>
          </w:tcPr>
          <w:p>
            <w:pPr>
              <w:keepLines/>
            </w:pPr>
            <w:r>
              <w:rPr>
                <w:b/>
                <w:color w:val="FFFFFF"/>
                <w:sz w:val="15"/>
              </w:rPr>
              <w:t>ID</w:t>
            </w:r>
          </w:p>
        </w:tc>
        <w:tc>
          <w:tcPr>
            <w:tcW w:type="dxa" w:w="4608"/>
            <w:shd w:fill="17365D"/>
            <w:tcMar>
              <w:top w:w="80" w:type="dxa"/>
              <w:start w:w="80" w:type="dxa"/>
              <w:bottom w:w="80" w:type="dxa"/>
              <w:end w:w="80" w:type="dxa"/>
            </w:tcMar>
          </w:tcPr>
          <w:p>
            <w:pPr>
              <w:keepLines/>
            </w:pPr>
            <w:r>
              <w:rPr>
                <w:b/>
                <w:color w:val="FFFFFF"/>
                <w:sz w:val="15"/>
              </w:rPr>
              <w:t>Source</w:t>
            </w:r>
          </w:p>
        </w:tc>
        <w:tc>
          <w:tcPr>
            <w:tcW w:type="dxa" w:w="1728"/>
            <w:shd w:fill="17365D"/>
            <w:tcMar>
              <w:top w:w="80" w:type="dxa"/>
              <w:start w:w="80" w:type="dxa"/>
              <w:bottom w:w="80" w:type="dxa"/>
              <w:end w:w="80" w:type="dxa"/>
            </w:tcMar>
          </w:tcPr>
          <w:p>
            <w:pPr>
              <w:keepLines/>
            </w:pPr>
            <w:r>
              <w:rPr>
                <w:b/>
                <w:color w:val="FFFFFF"/>
                <w:sz w:val="15"/>
              </w:rPr>
              <w:t>Grade</w:t>
            </w:r>
          </w:p>
        </w:tc>
        <w:tc>
          <w:tcPr>
            <w:tcW w:type="dxa" w:w="3744"/>
            <w:shd w:fill="17365D"/>
            <w:tcMar>
              <w:top w:w="80" w:type="dxa"/>
              <w:start w:w="80" w:type="dxa"/>
              <w:bottom w:w="80" w:type="dxa"/>
              <w:end w:w="80" w:type="dxa"/>
            </w:tcMar>
          </w:tcPr>
          <w:p>
            <w:pPr>
              <w:keepLines/>
            </w:pPr>
            <w:r>
              <w:rPr>
                <w:b/>
                <w:color w:val="FFFFFF"/>
                <w:sz w:val="15"/>
              </w:rPr>
              <w:t>Use</w:t>
            </w:r>
          </w:p>
        </w:tc>
      </w:tr>
      <w:tr>
        <w:tc>
          <w:tcPr>
            <w:tcW w:type="dxa" w:w="648"/>
            <w:tcMar>
              <w:top w:w="80" w:type="dxa"/>
              <w:start w:w="80" w:type="dxa"/>
              <w:bottom w:w="80" w:type="dxa"/>
              <w:end w:w="80" w:type="dxa"/>
            </w:tcMar>
            <w:vAlign w:val="top"/>
          </w:tcPr>
          <w:p>
            <w:pPr>
              <w:keepLines/>
              <w:spacing w:after="0"/>
            </w:pPr>
            <w:r>
              <w:rPr>
                <w:sz w:val="15"/>
              </w:rPr>
              <w:t>S1</w:t>
            </w:r>
          </w:p>
        </w:tc>
        <w:tc>
          <w:tcPr>
            <w:tcW w:type="dxa" w:w="4608"/>
            <w:tcMar>
              <w:top w:w="80" w:type="dxa"/>
              <w:start w:w="80" w:type="dxa"/>
              <w:bottom w:w="80" w:type="dxa"/>
              <w:end w:w="80" w:type="dxa"/>
            </w:tcMar>
            <w:vAlign w:val="top"/>
          </w:tcPr>
          <w:p>
            <w:pPr>
              <w:keepLines/>
              <w:spacing w:after="0"/>
            </w:pPr>
            <w:r>
              <w:rPr>
                <w:sz w:val="15"/>
              </w:rPr>
              <w:t>1891 Census of Canada, Halifax City, Ward 1D, page 29, family 106.</w:t>
            </w:r>
          </w:p>
        </w:tc>
        <w:tc>
          <w:tcPr>
            <w:tcW w:type="dxa" w:w="1728"/>
            <w:tcMar>
              <w:top w:w="80" w:type="dxa"/>
              <w:start w:w="80" w:type="dxa"/>
              <w:bottom w:w="80" w:type="dxa"/>
              <w:end w:w="80" w:type="dxa"/>
            </w:tcMar>
            <w:vAlign w:val="top"/>
          </w:tcPr>
          <w:p>
            <w:pPr>
              <w:keepLines/>
              <w:spacing w:after="0"/>
            </w:pPr>
            <w:r>
              <w:rPr>
                <w:sz w:val="15"/>
              </w:rPr>
              <w:t>PRIMARY</w:t>
            </w:r>
          </w:p>
        </w:tc>
        <w:tc>
          <w:tcPr>
            <w:tcW w:type="dxa" w:w="3744"/>
            <w:tcMar>
              <w:top w:w="80" w:type="dxa"/>
              <w:start w:w="80" w:type="dxa"/>
              <w:bottom w:w="80" w:type="dxa"/>
              <w:end w:w="80" w:type="dxa"/>
            </w:tcMar>
            <w:vAlign w:val="top"/>
          </w:tcPr>
          <w:p>
            <w:pPr>
              <w:keepLines/>
              <w:spacing w:after="0"/>
            </w:pPr>
            <w:r>
              <w:rPr>
                <w:sz w:val="15"/>
              </w:rPr>
              <w:t>Alfred/Ellen household; carpenter/joiner; migration clues; one-month-old male infant.</w:t>
            </w:r>
          </w:p>
        </w:tc>
      </w:tr>
      <w:tr>
        <w:tc>
          <w:tcPr>
            <w:tcW w:type="dxa" w:w="648"/>
            <w:tcMar>
              <w:top w:w="80" w:type="dxa"/>
              <w:start w:w="80" w:type="dxa"/>
              <w:bottom w:w="80" w:type="dxa"/>
              <w:end w:w="80" w:type="dxa"/>
            </w:tcMar>
            <w:vAlign w:val="top"/>
          </w:tcPr>
          <w:p>
            <w:pPr>
              <w:keepLines/>
              <w:spacing w:after="0"/>
            </w:pPr>
            <w:r>
              <w:rPr>
                <w:sz w:val="15"/>
              </w:rPr>
              <w:t>S2</w:t>
            </w:r>
          </w:p>
        </w:tc>
        <w:tc>
          <w:tcPr>
            <w:tcW w:type="dxa" w:w="4608"/>
            <w:tcMar>
              <w:top w:w="80" w:type="dxa"/>
              <w:start w:w="80" w:type="dxa"/>
              <w:bottom w:w="80" w:type="dxa"/>
              <w:end w:w="80" w:type="dxa"/>
            </w:tcMar>
            <w:vAlign w:val="top"/>
          </w:tcPr>
          <w:p>
            <w:pPr>
              <w:keepLines/>
              <w:spacing w:after="0"/>
            </w:pPr>
            <w:r>
              <w:rPr>
                <w:sz w:val="15"/>
              </w:rPr>
              <w:t>1904 annotated Davies family photograph.</w:t>
            </w:r>
          </w:p>
        </w:tc>
        <w:tc>
          <w:tcPr>
            <w:tcW w:type="dxa" w:w="1728"/>
            <w:tcMar>
              <w:top w:w="80" w:type="dxa"/>
              <w:start w:w="80" w:type="dxa"/>
              <w:bottom w:w="80" w:type="dxa"/>
              <w:end w:w="80" w:type="dxa"/>
            </w:tcMar>
            <w:vAlign w:val="top"/>
          </w:tcPr>
          <w:p>
            <w:pPr>
              <w:keepLines/>
              <w:spacing w:after="0"/>
            </w:pPr>
            <w:r>
              <w:rPr>
                <w:sz w:val="15"/>
              </w:rPr>
              <w:t>FAMILY ARTIFACT</w:t>
            </w:r>
          </w:p>
        </w:tc>
        <w:tc>
          <w:tcPr>
            <w:tcW w:type="dxa" w:w="3744"/>
            <w:tcMar>
              <w:top w:w="80" w:type="dxa"/>
              <w:start w:w="80" w:type="dxa"/>
              <w:bottom w:w="80" w:type="dxa"/>
              <w:end w:w="80" w:type="dxa"/>
            </w:tcMar>
            <w:vAlign w:val="top"/>
          </w:tcPr>
          <w:p>
            <w:pPr>
              <w:keepLines/>
              <w:spacing w:after="0"/>
            </w:pPr>
            <w:r>
              <w:rPr>
                <w:sz w:val="15"/>
              </w:rPr>
              <w:t>Parents and daughters named; useful sibling-order evidence.</w:t>
            </w:r>
          </w:p>
        </w:tc>
      </w:tr>
      <w:tr>
        <w:tc>
          <w:tcPr>
            <w:tcW w:type="dxa" w:w="648"/>
            <w:tcMar>
              <w:top w:w="80" w:type="dxa"/>
              <w:start w:w="80" w:type="dxa"/>
              <w:bottom w:w="80" w:type="dxa"/>
              <w:end w:w="80" w:type="dxa"/>
            </w:tcMar>
            <w:vAlign w:val="top"/>
          </w:tcPr>
          <w:p>
            <w:pPr>
              <w:keepLines/>
              <w:spacing w:after="0"/>
            </w:pPr>
            <w:r>
              <w:rPr>
                <w:sz w:val="15"/>
              </w:rPr>
              <w:t>S3</w:t>
            </w:r>
          </w:p>
        </w:tc>
        <w:tc>
          <w:tcPr>
            <w:tcW w:type="dxa" w:w="4608"/>
            <w:tcMar>
              <w:top w:w="80" w:type="dxa"/>
              <w:start w:w="80" w:type="dxa"/>
              <w:bottom w:w="80" w:type="dxa"/>
              <w:end w:w="80" w:type="dxa"/>
            </w:tcMar>
            <w:vAlign w:val="top"/>
          </w:tcPr>
          <w:p>
            <w:pPr>
              <w:keepLines/>
              <w:spacing w:after="0"/>
            </w:pPr>
            <w:r>
              <w:rPr>
                <w:sz w:val="15"/>
              </w:rPr>
              <w:t>1911 Census of Canada, Halifax, LAC image e001970791, page 19, 92½ Pleasant Street.</w:t>
            </w:r>
          </w:p>
        </w:tc>
        <w:tc>
          <w:tcPr>
            <w:tcW w:type="dxa" w:w="1728"/>
            <w:tcMar>
              <w:top w:w="80" w:type="dxa"/>
              <w:start w:w="80" w:type="dxa"/>
              <w:bottom w:w="80" w:type="dxa"/>
              <w:end w:w="80" w:type="dxa"/>
            </w:tcMar>
            <w:vAlign w:val="top"/>
          </w:tcPr>
          <w:p>
            <w:pPr>
              <w:keepLines/>
              <w:spacing w:after="0"/>
            </w:pPr>
            <w:r>
              <w:rPr>
                <w:sz w:val="15"/>
              </w:rPr>
              <w:t>PRIMARY</w:t>
            </w:r>
          </w:p>
        </w:tc>
        <w:tc>
          <w:tcPr>
            <w:tcW w:type="dxa" w:w="3744"/>
            <w:tcMar>
              <w:top w:w="80" w:type="dxa"/>
              <w:start w:w="80" w:type="dxa"/>
              <w:bottom w:w="80" w:type="dxa"/>
              <w:end w:w="80" w:type="dxa"/>
            </w:tcMar>
            <w:vAlign w:val="top"/>
          </w:tcPr>
          <w:p>
            <w:pPr>
              <w:keepLines/>
              <w:spacing w:after="0"/>
            </w:pPr>
            <w:r>
              <w:rPr>
                <w:sz w:val="15"/>
              </w:rPr>
              <w:t>Alfred/Ellen household with young male son; handwriting caution on given name.</w:t>
            </w:r>
          </w:p>
        </w:tc>
      </w:tr>
      <w:tr>
        <w:tc>
          <w:tcPr>
            <w:tcW w:type="dxa" w:w="648"/>
            <w:tcMar>
              <w:top w:w="80" w:type="dxa"/>
              <w:start w:w="80" w:type="dxa"/>
              <w:bottom w:w="80" w:type="dxa"/>
              <w:end w:w="80" w:type="dxa"/>
            </w:tcMar>
            <w:vAlign w:val="top"/>
          </w:tcPr>
          <w:p>
            <w:pPr>
              <w:keepLines/>
              <w:spacing w:after="0"/>
            </w:pPr>
            <w:r>
              <w:rPr>
                <w:sz w:val="15"/>
              </w:rPr>
              <w:t>S4</w:t>
            </w:r>
          </w:p>
        </w:tc>
        <w:tc>
          <w:tcPr>
            <w:tcW w:type="dxa" w:w="4608"/>
            <w:tcMar>
              <w:top w:w="80" w:type="dxa"/>
              <w:start w:w="80" w:type="dxa"/>
              <w:bottom w:w="80" w:type="dxa"/>
              <w:end w:w="80" w:type="dxa"/>
            </w:tcMar>
            <w:vAlign w:val="top"/>
          </w:tcPr>
          <w:p>
            <w:pPr>
              <w:keepLines/>
              <w:spacing w:after="0"/>
            </w:pPr>
            <w:r>
              <w:rPr>
                <w:sz w:val="15"/>
              </w:rPr>
              <w:t>Ellen Davies obituary, Halifax newspaper, July 1916.</w:t>
            </w:r>
          </w:p>
        </w:tc>
        <w:tc>
          <w:tcPr>
            <w:tcW w:type="dxa" w:w="1728"/>
            <w:tcMar>
              <w:top w:w="80" w:type="dxa"/>
              <w:start w:w="80" w:type="dxa"/>
              <w:bottom w:w="80" w:type="dxa"/>
              <w:end w:w="80" w:type="dxa"/>
            </w:tcMar>
            <w:vAlign w:val="top"/>
          </w:tcPr>
          <w:p>
            <w:pPr>
              <w:keepLines/>
              <w:spacing w:after="0"/>
            </w:pPr>
            <w:r>
              <w:rPr>
                <w:sz w:val="15"/>
              </w:rPr>
              <w:t>PERIOD PRIMARY</w:t>
            </w:r>
          </w:p>
        </w:tc>
        <w:tc>
          <w:tcPr>
            <w:tcW w:type="dxa" w:w="3744"/>
            <w:tcMar>
              <w:top w:w="80" w:type="dxa"/>
              <w:start w:w="80" w:type="dxa"/>
              <w:bottom w:w="80" w:type="dxa"/>
              <w:end w:w="80" w:type="dxa"/>
            </w:tcMar>
            <w:vAlign w:val="top"/>
          </w:tcPr>
          <w:p>
            <w:pPr>
              <w:keepLines/>
              <w:spacing w:after="0"/>
            </w:pPr>
            <w:r>
              <w:rPr>
                <w:sz w:val="15"/>
              </w:rPr>
              <w:t>Widow of Alfred; “well known carpenter”; 56 Tower Road; surviving children.</w:t>
            </w:r>
          </w:p>
        </w:tc>
      </w:tr>
      <w:tr>
        <w:tc>
          <w:tcPr>
            <w:tcW w:type="dxa" w:w="648"/>
            <w:tcMar>
              <w:top w:w="80" w:type="dxa"/>
              <w:start w:w="80" w:type="dxa"/>
              <w:bottom w:w="80" w:type="dxa"/>
              <w:end w:w="80" w:type="dxa"/>
            </w:tcMar>
            <w:vAlign w:val="top"/>
          </w:tcPr>
          <w:p>
            <w:pPr>
              <w:keepLines/>
              <w:spacing w:after="0"/>
            </w:pPr>
            <w:r>
              <w:rPr>
                <w:sz w:val="15"/>
              </w:rPr>
              <w:t>S5</w:t>
            </w:r>
          </w:p>
        </w:tc>
        <w:tc>
          <w:tcPr>
            <w:tcW w:type="dxa" w:w="4608"/>
            <w:tcMar>
              <w:top w:w="80" w:type="dxa"/>
              <w:start w:w="80" w:type="dxa"/>
              <w:bottom w:w="80" w:type="dxa"/>
              <w:end w:w="80" w:type="dxa"/>
            </w:tcMar>
            <w:vAlign w:val="top"/>
          </w:tcPr>
          <w:p>
            <w:pPr>
              <w:keepLines/>
              <w:spacing w:after="0"/>
            </w:pPr>
            <w:r>
              <w:rPr>
                <w:sz w:val="15"/>
              </w:rPr>
              <w:t>Marriage register, 7 Feb 1918, Violet Alberta Davies + Charles Michael Hall, Halifax, licence 3369.</w:t>
            </w:r>
          </w:p>
        </w:tc>
        <w:tc>
          <w:tcPr>
            <w:tcW w:type="dxa" w:w="1728"/>
            <w:tcMar>
              <w:top w:w="80" w:type="dxa"/>
              <w:start w:w="80" w:type="dxa"/>
              <w:bottom w:w="80" w:type="dxa"/>
              <w:end w:w="80" w:type="dxa"/>
            </w:tcMar>
            <w:vAlign w:val="top"/>
          </w:tcPr>
          <w:p>
            <w:pPr>
              <w:keepLines/>
              <w:spacing w:after="0"/>
            </w:pPr>
            <w:r>
              <w:rPr>
                <w:sz w:val="15"/>
              </w:rPr>
              <w:t>PRIMARY</w:t>
            </w:r>
          </w:p>
        </w:tc>
        <w:tc>
          <w:tcPr>
            <w:tcW w:type="dxa" w:w="3744"/>
            <w:tcMar>
              <w:top w:w="80" w:type="dxa"/>
              <w:start w:w="80" w:type="dxa"/>
              <w:bottom w:w="80" w:type="dxa"/>
              <w:end w:w="80" w:type="dxa"/>
            </w:tcMar>
            <w:vAlign w:val="top"/>
          </w:tcPr>
          <w:p>
            <w:pPr>
              <w:keepLines/>
              <w:spacing w:after="0"/>
            </w:pPr>
            <w:r>
              <w:rPr>
                <w:sz w:val="15"/>
              </w:rPr>
              <w:t>Parents Alfred/Ellen deceased; father carpenter; Florence Myrtle witness.</w:t>
            </w:r>
          </w:p>
        </w:tc>
      </w:tr>
      <w:tr>
        <w:tc>
          <w:tcPr>
            <w:tcW w:type="dxa" w:w="648"/>
            <w:tcMar>
              <w:top w:w="80" w:type="dxa"/>
              <w:start w:w="80" w:type="dxa"/>
              <w:bottom w:w="80" w:type="dxa"/>
              <w:end w:w="80" w:type="dxa"/>
            </w:tcMar>
            <w:vAlign w:val="top"/>
          </w:tcPr>
          <w:p>
            <w:pPr>
              <w:keepLines/>
              <w:spacing w:after="0"/>
            </w:pPr>
            <w:r>
              <w:rPr>
                <w:sz w:val="15"/>
              </w:rPr>
              <w:t>S6</w:t>
            </w:r>
          </w:p>
        </w:tc>
        <w:tc>
          <w:tcPr>
            <w:tcW w:type="dxa" w:w="4608"/>
            <w:tcMar>
              <w:top w:w="80" w:type="dxa"/>
              <w:start w:w="80" w:type="dxa"/>
              <w:bottom w:w="80" w:type="dxa"/>
              <w:end w:w="80" w:type="dxa"/>
            </w:tcMar>
            <w:vAlign w:val="top"/>
          </w:tcPr>
          <w:p>
            <w:pPr>
              <w:keepLines/>
              <w:spacing w:after="0"/>
            </w:pPr>
            <w:r>
              <w:rPr>
                <w:sz w:val="15"/>
              </w:rPr>
              <w:t>Roy Albert Hall birth, Halifax, 15 Aug 1919, registration 49500796, NS Archives ID 381441.</w:t>
            </w:r>
          </w:p>
        </w:tc>
        <w:tc>
          <w:tcPr>
            <w:tcW w:type="dxa" w:w="1728"/>
            <w:tcMar>
              <w:top w:w="80" w:type="dxa"/>
              <w:start w:w="80" w:type="dxa"/>
              <w:bottom w:w="80" w:type="dxa"/>
              <w:end w:w="80" w:type="dxa"/>
            </w:tcMar>
            <w:vAlign w:val="top"/>
          </w:tcPr>
          <w:p>
            <w:pPr>
              <w:keepLines/>
              <w:spacing w:after="0"/>
            </w:pPr>
            <w:r>
              <w:rPr>
                <w:sz w:val="15"/>
              </w:rPr>
              <w:t>PRIMARY</w:t>
            </w:r>
          </w:p>
        </w:tc>
        <w:tc>
          <w:tcPr>
            <w:tcW w:type="dxa" w:w="3744"/>
            <w:tcMar>
              <w:top w:w="80" w:type="dxa"/>
              <w:start w:w="80" w:type="dxa"/>
              <w:bottom w:w="80" w:type="dxa"/>
              <w:end w:w="80" w:type="dxa"/>
            </w:tcMar>
            <w:vAlign w:val="top"/>
          </w:tcPr>
          <w:p>
            <w:pPr>
              <w:keepLines/>
              <w:spacing w:after="0"/>
            </w:pPr>
            <w:r>
              <w:rPr>
                <w:sz w:val="15"/>
              </w:rPr>
              <w:t>Charles M. Hall + Violet B. Davies; 25 Wellington.</w:t>
            </w:r>
          </w:p>
        </w:tc>
      </w:tr>
      <w:tr>
        <w:tc>
          <w:tcPr>
            <w:tcW w:type="dxa" w:w="648"/>
            <w:tcMar>
              <w:top w:w="80" w:type="dxa"/>
              <w:start w:w="80" w:type="dxa"/>
              <w:bottom w:w="80" w:type="dxa"/>
              <w:end w:w="80" w:type="dxa"/>
            </w:tcMar>
            <w:vAlign w:val="top"/>
          </w:tcPr>
          <w:p>
            <w:pPr>
              <w:keepLines/>
              <w:spacing w:after="0"/>
            </w:pPr>
            <w:r>
              <w:rPr>
                <w:sz w:val="15"/>
              </w:rPr>
              <w:t>S7</w:t>
            </w:r>
          </w:p>
        </w:tc>
        <w:tc>
          <w:tcPr>
            <w:tcW w:type="dxa" w:w="4608"/>
            <w:tcMar>
              <w:top w:w="80" w:type="dxa"/>
              <w:start w:w="80" w:type="dxa"/>
              <w:bottom w:w="80" w:type="dxa"/>
              <w:end w:w="80" w:type="dxa"/>
            </w:tcMar>
            <w:vAlign w:val="top"/>
          </w:tcPr>
          <w:p>
            <w:pPr>
              <w:keepLines/>
              <w:spacing w:after="0"/>
            </w:pPr>
            <w:r>
              <w:rPr>
                <w:sz w:val="15"/>
              </w:rPr>
              <w:t>McAlpine Halifax directories, 1919–20 through 1921–22.</w:t>
            </w:r>
          </w:p>
        </w:tc>
        <w:tc>
          <w:tcPr>
            <w:tcW w:type="dxa" w:w="1728"/>
            <w:tcMar>
              <w:top w:w="80" w:type="dxa"/>
              <w:start w:w="80" w:type="dxa"/>
              <w:bottom w:w="80" w:type="dxa"/>
              <w:end w:w="80" w:type="dxa"/>
            </w:tcMar>
            <w:vAlign w:val="top"/>
          </w:tcPr>
          <w:p>
            <w:pPr>
              <w:keepLines/>
              <w:spacing w:after="0"/>
            </w:pPr>
            <w:r>
              <w:rPr>
                <w:sz w:val="15"/>
              </w:rPr>
              <w:t>PERIOD PRIMARY</w:t>
            </w:r>
          </w:p>
        </w:tc>
        <w:tc>
          <w:tcPr>
            <w:tcW w:type="dxa" w:w="3744"/>
            <w:tcMar>
              <w:top w:w="80" w:type="dxa"/>
              <w:start w:w="80" w:type="dxa"/>
              <w:bottom w:w="80" w:type="dxa"/>
              <w:end w:w="80" w:type="dxa"/>
            </w:tcMar>
            <w:vAlign w:val="top"/>
          </w:tcPr>
          <w:p>
            <w:pPr>
              <w:keepLines/>
              <w:spacing w:after="0"/>
            </w:pPr>
            <w:r>
              <w:rPr>
                <w:sz w:val="15"/>
              </w:rPr>
              <w:t>Bertha Hall / Burton MacKenzie / 25 Wellington → 46 Bland continuity.</w:t>
            </w:r>
          </w:p>
        </w:tc>
      </w:tr>
      <w:tr>
        <w:tc>
          <w:tcPr>
            <w:tcW w:type="dxa" w:w="648"/>
            <w:tcMar>
              <w:top w:w="80" w:type="dxa"/>
              <w:start w:w="80" w:type="dxa"/>
              <w:bottom w:w="80" w:type="dxa"/>
              <w:end w:w="80" w:type="dxa"/>
            </w:tcMar>
            <w:vAlign w:val="top"/>
          </w:tcPr>
          <w:p>
            <w:pPr>
              <w:keepLines/>
              <w:spacing w:after="0"/>
            </w:pPr>
            <w:r>
              <w:rPr>
                <w:sz w:val="15"/>
              </w:rPr>
              <w:t>S8</w:t>
            </w:r>
          </w:p>
        </w:tc>
        <w:tc>
          <w:tcPr>
            <w:tcW w:type="dxa" w:w="4608"/>
            <w:tcMar>
              <w:top w:w="80" w:type="dxa"/>
              <w:start w:w="80" w:type="dxa"/>
              <w:bottom w:w="80" w:type="dxa"/>
              <w:end w:w="80" w:type="dxa"/>
            </w:tcMar>
            <w:vAlign w:val="top"/>
          </w:tcPr>
          <w:p>
            <w:pPr>
              <w:keepLines/>
              <w:spacing w:after="0"/>
            </w:pPr>
            <w:r>
              <w:rPr>
                <w:sz w:val="15"/>
              </w:rPr>
              <w:t>Marriage register, 23 Nov 1920, Burton Ronald McKenzie + Violet Alice Hall, Halifax.</w:t>
            </w:r>
          </w:p>
        </w:tc>
        <w:tc>
          <w:tcPr>
            <w:tcW w:type="dxa" w:w="1728"/>
            <w:tcMar>
              <w:top w:w="80" w:type="dxa"/>
              <w:start w:w="80" w:type="dxa"/>
              <w:bottom w:w="80" w:type="dxa"/>
              <w:end w:w="80" w:type="dxa"/>
            </w:tcMar>
            <w:vAlign w:val="top"/>
          </w:tcPr>
          <w:p>
            <w:pPr>
              <w:keepLines/>
              <w:spacing w:after="0"/>
            </w:pPr>
            <w:r>
              <w:rPr>
                <w:sz w:val="15"/>
              </w:rPr>
              <w:t>PRIMARY</w:t>
            </w:r>
          </w:p>
        </w:tc>
        <w:tc>
          <w:tcPr>
            <w:tcW w:type="dxa" w:w="3744"/>
            <w:tcMar>
              <w:top w:w="80" w:type="dxa"/>
              <w:start w:w="80" w:type="dxa"/>
              <w:bottom w:w="80" w:type="dxa"/>
              <w:end w:w="80" w:type="dxa"/>
            </w:tcMar>
            <w:vAlign w:val="top"/>
          </w:tcPr>
          <w:p>
            <w:pPr>
              <w:keepLines/>
              <w:spacing w:after="0"/>
            </w:pPr>
            <w:r>
              <w:rPr>
                <w:sz w:val="15"/>
              </w:rPr>
              <w:t>Hall→McKenzie bridge; contradictory bride fields preserved.</w:t>
            </w:r>
          </w:p>
        </w:tc>
      </w:tr>
      <w:tr>
        <w:tc>
          <w:tcPr>
            <w:tcW w:type="dxa" w:w="648"/>
            <w:tcMar>
              <w:top w:w="80" w:type="dxa"/>
              <w:start w:w="80" w:type="dxa"/>
              <w:bottom w:w="80" w:type="dxa"/>
              <w:end w:w="80" w:type="dxa"/>
            </w:tcMar>
            <w:vAlign w:val="top"/>
          </w:tcPr>
          <w:p>
            <w:pPr>
              <w:keepLines/>
              <w:spacing w:after="0"/>
            </w:pPr>
            <w:r>
              <w:rPr>
                <w:sz w:val="15"/>
              </w:rPr>
              <w:t>S9</w:t>
            </w:r>
          </w:p>
        </w:tc>
        <w:tc>
          <w:tcPr>
            <w:tcW w:type="dxa" w:w="4608"/>
            <w:tcMar>
              <w:top w:w="80" w:type="dxa"/>
              <w:start w:w="80" w:type="dxa"/>
              <w:bottom w:w="80" w:type="dxa"/>
              <w:end w:w="80" w:type="dxa"/>
            </w:tcMar>
            <w:vAlign w:val="top"/>
          </w:tcPr>
          <w:p>
            <w:pPr>
              <w:keepLines/>
              <w:spacing w:after="0"/>
            </w:pPr>
            <w:r>
              <w:rPr>
                <w:sz w:val="15"/>
              </w:rPr>
              <w:t>1921 Census of Canada, Halifax District 57, Sub-district 44, page 6, lines 17–20.</w:t>
            </w:r>
          </w:p>
        </w:tc>
        <w:tc>
          <w:tcPr>
            <w:tcW w:type="dxa" w:w="1728"/>
            <w:tcMar>
              <w:top w:w="80" w:type="dxa"/>
              <w:start w:w="80" w:type="dxa"/>
              <w:bottom w:w="80" w:type="dxa"/>
              <w:end w:w="80" w:type="dxa"/>
            </w:tcMar>
            <w:vAlign w:val="top"/>
          </w:tcPr>
          <w:p>
            <w:pPr>
              <w:keepLines/>
              <w:spacing w:after="0"/>
            </w:pPr>
            <w:r>
              <w:rPr>
                <w:sz w:val="15"/>
              </w:rPr>
              <w:t>PRIMARY</w:t>
            </w:r>
          </w:p>
        </w:tc>
        <w:tc>
          <w:tcPr>
            <w:tcW w:type="dxa" w:w="3744"/>
            <w:tcMar>
              <w:top w:w="80" w:type="dxa"/>
              <w:start w:w="80" w:type="dxa"/>
              <w:bottom w:w="80" w:type="dxa"/>
              <w:end w:w="80" w:type="dxa"/>
            </w:tcMar>
            <w:vAlign w:val="top"/>
          </w:tcPr>
          <w:p>
            <w:pPr>
              <w:keepLines/>
              <w:spacing w:after="0"/>
            </w:pPr>
            <w:r>
              <w:rPr>
                <w:sz w:val="15"/>
              </w:rPr>
              <w:t>Burton, Alberta, Ray, Alfred Davies at 46 Bland; Alfred = brother-in-law, age 15.</w:t>
            </w:r>
          </w:p>
        </w:tc>
      </w:tr>
      <w:tr>
        <w:tc>
          <w:tcPr>
            <w:tcW w:type="dxa" w:w="648"/>
            <w:tcMar>
              <w:top w:w="80" w:type="dxa"/>
              <w:start w:w="80" w:type="dxa"/>
              <w:bottom w:w="80" w:type="dxa"/>
              <w:end w:w="80" w:type="dxa"/>
            </w:tcMar>
            <w:vAlign w:val="top"/>
          </w:tcPr>
          <w:p>
            <w:pPr>
              <w:keepLines/>
              <w:spacing w:after="0"/>
            </w:pPr>
            <w:r>
              <w:rPr>
                <w:sz w:val="15"/>
              </w:rPr>
              <w:t>S10</w:t>
            </w:r>
          </w:p>
        </w:tc>
        <w:tc>
          <w:tcPr>
            <w:tcW w:type="dxa" w:w="4608"/>
            <w:tcMar>
              <w:top w:w="80" w:type="dxa"/>
              <w:start w:w="80" w:type="dxa"/>
              <w:bottom w:w="80" w:type="dxa"/>
              <w:end w:w="80" w:type="dxa"/>
            </w:tcMar>
            <w:vAlign w:val="top"/>
          </w:tcPr>
          <w:p>
            <w:pPr>
              <w:keepLines/>
              <w:spacing w:after="0"/>
            </w:pPr>
            <w:r>
              <w:rPr>
                <w:sz w:val="15"/>
              </w:rPr>
              <w:t>Ronald Edward McKenzie birth, Halifax, 25 Jun 1921, registration 40600125, NS Archives ID 403124.</w:t>
            </w:r>
          </w:p>
        </w:tc>
        <w:tc>
          <w:tcPr>
            <w:tcW w:type="dxa" w:w="1728"/>
            <w:tcMar>
              <w:top w:w="80" w:type="dxa"/>
              <w:start w:w="80" w:type="dxa"/>
              <w:bottom w:w="80" w:type="dxa"/>
              <w:end w:w="80" w:type="dxa"/>
            </w:tcMar>
            <w:vAlign w:val="top"/>
          </w:tcPr>
          <w:p>
            <w:pPr>
              <w:keepLines/>
              <w:spacing w:after="0"/>
            </w:pPr>
            <w:r>
              <w:rPr>
                <w:sz w:val="15"/>
              </w:rPr>
              <w:t>PRIMARY</w:t>
            </w:r>
          </w:p>
        </w:tc>
        <w:tc>
          <w:tcPr>
            <w:tcW w:type="dxa" w:w="3744"/>
            <w:tcMar>
              <w:top w:w="80" w:type="dxa"/>
              <w:start w:w="80" w:type="dxa"/>
              <w:bottom w:w="80" w:type="dxa"/>
              <w:end w:w="80" w:type="dxa"/>
            </w:tcMar>
            <w:vAlign w:val="top"/>
          </w:tcPr>
          <w:p>
            <w:pPr>
              <w:keepLines/>
              <w:spacing w:after="0"/>
            </w:pPr>
            <w:r>
              <w:rPr>
                <w:sz w:val="15"/>
              </w:rPr>
              <w:t>Burton Ronald + Violet Alice Hall; Ronald = second living child; 55 Cunard.</w:t>
            </w:r>
          </w:p>
        </w:tc>
      </w:tr>
      <w:tr>
        <w:tc>
          <w:tcPr>
            <w:tcW w:type="dxa" w:w="648"/>
            <w:tcMar>
              <w:top w:w="80" w:type="dxa"/>
              <w:start w:w="80" w:type="dxa"/>
              <w:bottom w:w="80" w:type="dxa"/>
              <w:end w:w="80" w:type="dxa"/>
            </w:tcMar>
            <w:vAlign w:val="top"/>
          </w:tcPr>
          <w:p>
            <w:pPr>
              <w:keepLines/>
              <w:spacing w:after="0"/>
            </w:pPr>
            <w:r>
              <w:rPr>
                <w:sz w:val="15"/>
              </w:rPr>
              <w:t>S11</w:t>
            </w:r>
          </w:p>
        </w:tc>
        <w:tc>
          <w:tcPr>
            <w:tcW w:type="dxa" w:w="4608"/>
            <w:tcMar>
              <w:top w:w="80" w:type="dxa"/>
              <w:start w:w="80" w:type="dxa"/>
              <w:bottom w:w="80" w:type="dxa"/>
              <w:end w:w="80" w:type="dxa"/>
            </w:tcMar>
            <w:vAlign w:val="top"/>
          </w:tcPr>
          <w:p>
            <w:pPr>
              <w:keepLines/>
              <w:spacing w:after="0"/>
            </w:pPr>
            <w:r>
              <w:rPr>
                <w:sz w:val="15"/>
              </w:rPr>
              <w:t>1931 Census of Canada, Bert/Burton and Bertha McKenzie household.</w:t>
            </w:r>
          </w:p>
        </w:tc>
        <w:tc>
          <w:tcPr>
            <w:tcW w:type="dxa" w:w="1728"/>
            <w:tcMar>
              <w:top w:w="80" w:type="dxa"/>
              <w:start w:w="80" w:type="dxa"/>
              <w:bottom w:w="80" w:type="dxa"/>
              <w:end w:w="80" w:type="dxa"/>
            </w:tcMar>
            <w:vAlign w:val="top"/>
          </w:tcPr>
          <w:p>
            <w:pPr>
              <w:keepLines/>
              <w:spacing w:after="0"/>
            </w:pPr>
            <w:r>
              <w:rPr>
                <w:sz w:val="15"/>
              </w:rPr>
              <w:t>PRIMARY</w:t>
            </w:r>
          </w:p>
        </w:tc>
        <w:tc>
          <w:tcPr>
            <w:tcW w:type="dxa" w:w="3744"/>
            <w:tcMar>
              <w:top w:w="80" w:type="dxa"/>
              <w:start w:w="80" w:type="dxa"/>
              <w:bottom w:w="80" w:type="dxa"/>
              <w:end w:w="80" w:type="dxa"/>
            </w:tcMar>
            <w:vAlign w:val="top"/>
          </w:tcPr>
          <w:p>
            <w:pPr>
              <w:keepLines/>
              <w:spacing w:after="0"/>
            </w:pPr>
            <w:r>
              <w:rPr>
                <w:sz w:val="15"/>
              </w:rPr>
              <w:t>Roy and Ronald age sequence; Bertha naming continuity.</w:t>
            </w:r>
          </w:p>
        </w:tc>
      </w:tr>
      <w:tr>
        <w:tc>
          <w:tcPr>
            <w:tcW w:type="dxa" w:w="648"/>
            <w:tcMar>
              <w:top w:w="80" w:type="dxa"/>
              <w:start w:w="80" w:type="dxa"/>
              <w:bottom w:w="80" w:type="dxa"/>
              <w:end w:w="80" w:type="dxa"/>
            </w:tcMar>
            <w:vAlign w:val="top"/>
          </w:tcPr>
          <w:p>
            <w:pPr>
              <w:keepLines/>
              <w:spacing w:after="0"/>
            </w:pPr>
            <w:r>
              <w:rPr>
                <w:sz w:val="15"/>
              </w:rPr>
              <w:t>S12</w:t>
            </w:r>
          </w:p>
        </w:tc>
        <w:tc>
          <w:tcPr>
            <w:tcW w:type="dxa" w:w="4608"/>
            <w:tcMar>
              <w:top w:w="80" w:type="dxa"/>
              <w:start w:w="80" w:type="dxa"/>
              <w:bottom w:w="80" w:type="dxa"/>
              <w:end w:w="80" w:type="dxa"/>
            </w:tcMar>
            <w:vAlign w:val="top"/>
          </w:tcPr>
          <w:p>
            <w:pPr>
              <w:keepLines/>
              <w:spacing w:after="0"/>
            </w:pPr>
            <w:r>
              <w:rPr>
                <w:sz w:val="15"/>
              </w:rPr>
              <w:t>Ted Jr. interview transcript + preserved raw audio, Aug 2026.</w:t>
            </w:r>
          </w:p>
        </w:tc>
        <w:tc>
          <w:tcPr>
            <w:tcW w:type="dxa" w:w="1728"/>
            <w:tcMar>
              <w:top w:w="80" w:type="dxa"/>
              <w:start w:w="80" w:type="dxa"/>
              <w:bottom w:w="80" w:type="dxa"/>
              <w:end w:w="80" w:type="dxa"/>
            </w:tcMar>
            <w:vAlign w:val="top"/>
          </w:tcPr>
          <w:p>
            <w:pPr>
              <w:keepLines/>
              <w:spacing w:after="0"/>
            </w:pPr>
            <w:r>
              <w:rPr>
                <w:sz w:val="15"/>
              </w:rPr>
              <w:t>TESTIMONY</w:t>
            </w:r>
          </w:p>
        </w:tc>
        <w:tc>
          <w:tcPr>
            <w:tcW w:type="dxa" w:w="3744"/>
            <w:tcMar>
              <w:top w:w="80" w:type="dxa"/>
              <w:start w:w="80" w:type="dxa"/>
              <w:bottom w:w="80" w:type="dxa"/>
              <w:end w:w="80" w:type="dxa"/>
            </w:tcMar>
            <w:vAlign w:val="top"/>
          </w:tcPr>
          <w:p>
            <w:pPr>
              <w:keepLines/>
              <w:spacing w:after="0"/>
            </w:pPr>
            <w:r>
              <w:rPr>
                <w:sz w:val="15"/>
              </w:rPr>
              <w:t>Spryfield/McNeil aunt; family visits; “sister to sister” phrasing; correction to 12–13 sailing-age attribution.</w:t>
            </w:r>
          </w:p>
        </w:tc>
      </w:tr>
      <w:tr>
        <w:tc>
          <w:tcPr>
            <w:tcW w:type="dxa" w:w="648"/>
            <w:tcMar>
              <w:top w:w="80" w:type="dxa"/>
              <w:start w:w="80" w:type="dxa"/>
              <w:bottom w:w="80" w:type="dxa"/>
              <w:end w:w="80" w:type="dxa"/>
            </w:tcMar>
            <w:vAlign w:val="top"/>
          </w:tcPr>
          <w:p>
            <w:pPr>
              <w:keepLines/>
              <w:spacing w:after="0"/>
            </w:pPr>
            <w:r>
              <w:rPr>
                <w:sz w:val="15"/>
              </w:rPr>
              <w:t>S13</w:t>
            </w:r>
          </w:p>
        </w:tc>
        <w:tc>
          <w:tcPr>
            <w:tcW w:type="dxa" w:w="4608"/>
            <w:tcMar>
              <w:top w:w="80" w:type="dxa"/>
              <w:start w:w="80" w:type="dxa"/>
              <w:bottom w:w="80" w:type="dxa"/>
              <w:end w:w="80" w:type="dxa"/>
            </w:tcMar>
            <w:vAlign w:val="top"/>
          </w:tcPr>
          <w:p>
            <w:pPr>
              <w:keepLines/>
              <w:spacing w:after="0"/>
            </w:pPr>
            <w:r>
              <w:rPr>
                <w:sz w:val="15"/>
              </w:rPr>
              <w:t>Imperial Oil Review, Vol. 29 No. 3, Winter 1945, “Captains Courageous.”</w:t>
            </w:r>
          </w:p>
        </w:tc>
        <w:tc>
          <w:tcPr>
            <w:tcW w:type="dxa" w:w="1728"/>
            <w:tcMar>
              <w:top w:w="80" w:type="dxa"/>
              <w:start w:w="80" w:type="dxa"/>
              <w:bottom w:w="80" w:type="dxa"/>
              <w:end w:w="80" w:type="dxa"/>
            </w:tcMar>
            <w:vAlign w:val="top"/>
          </w:tcPr>
          <w:p>
            <w:pPr>
              <w:keepLines/>
              <w:spacing w:after="0"/>
            </w:pPr>
            <w:r>
              <w:rPr>
                <w:sz w:val="15"/>
              </w:rPr>
              <w:t>PERIOD PRIMARY</w:t>
            </w:r>
          </w:p>
        </w:tc>
        <w:tc>
          <w:tcPr>
            <w:tcW w:type="dxa" w:w="3744"/>
            <w:tcMar>
              <w:top w:w="80" w:type="dxa"/>
              <w:start w:w="80" w:type="dxa"/>
              <w:bottom w:w="80" w:type="dxa"/>
              <w:end w:w="80" w:type="dxa"/>
            </w:tcMar>
            <w:vAlign w:val="top"/>
          </w:tcPr>
          <w:p>
            <w:pPr>
              <w:keepLines/>
              <w:spacing w:after="0"/>
            </w:pPr>
            <w:r>
              <w:rPr>
                <w:sz w:val="15"/>
              </w:rPr>
              <w:t>E. A. Davies, Sarnolite master, O.B.E., 17 convoys; 1907 anomaly.</w:t>
            </w:r>
          </w:p>
        </w:tc>
      </w:tr>
      <w:tr>
        <w:tc>
          <w:tcPr>
            <w:tcW w:type="dxa" w:w="648"/>
            <w:tcMar>
              <w:top w:w="80" w:type="dxa"/>
              <w:start w:w="80" w:type="dxa"/>
              <w:bottom w:w="80" w:type="dxa"/>
              <w:end w:w="80" w:type="dxa"/>
            </w:tcMar>
            <w:vAlign w:val="top"/>
          </w:tcPr>
          <w:p>
            <w:pPr>
              <w:keepLines/>
              <w:spacing w:after="0"/>
            </w:pPr>
            <w:r>
              <w:rPr>
                <w:sz w:val="15"/>
              </w:rPr>
              <w:t>S14</w:t>
            </w:r>
          </w:p>
        </w:tc>
        <w:tc>
          <w:tcPr>
            <w:tcW w:type="dxa" w:w="4608"/>
            <w:tcMar>
              <w:top w:w="80" w:type="dxa"/>
              <w:start w:w="80" w:type="dxa"/>
              <w:bottom w:w="80" w:type="dxa"/>
              <w:end w:w="80" w:type="dxa"/>
            </w:tcMar>
            <w:vAlign w:val="top"/>
          </w:tcPr>
          <w:p>
            <w:pPr>
              <w:keepLines/>
              <w:spacing w:after="0"/>
            </w:pPr>
            <w:r>
              <w:rPr>
                <w:sz w:val="15"/>
              </w:rPr>
              <w:t>Canada Gazette, Part I, Vol. LXXIX, No. 1, 1 Jan 1945.</w:t>
            </w:r>
          </w:p>
        </w:tc>
        <w:tc>
          <w:tcPr>
            <w:tcW w:type="dxa" w:w="1728"/>
            <w:tcMar>
              <w:top w:w="80" w:type="dxa"/>
              <w:start w:w="80" w:type="dxa"/>
              <w:bottom w:w="80" w:type="dxa"/>
              <w:end w:w="80" w:type="dxa"/>
            </w:tcMar>
            <w:vAlign w:val="top"/>
          </w:tcPr>
          <w:p>
            <w:pPr>
              <w:keepLines/>
              <w:spacing w:after="0"/>
            </w:pPr>
            <w:r>
              <w:rPr>
                <w:sz w:val="15"/>
              </w:rPr>
              <w:t>PRIMARY GOVERNMENT</w:t>
            </w:r>
          </w:p>
        </w:tc>
        <w:tc>
          <w:tcPr>
            <w:tcW w:type="dxa" w:w="3744"/>
            <w:tcMar>
              <w:top w:w="80" w:type="dxa"/>
              <w:start w:w="80" w:type="dxa"/>
              <w:bottom w:w="80" w:type="dxa"/>
              <w:end w:w="80" w:type="dxa"/>
            </w:tcMar>
            <w:vAlign w:val="top"/>
          </w:tcPr>
          <w:p>
            <w:pPr>
              <w:keepLines/>
              <w:spacing w:after="0"/>
            </w:pPr>
            <w:r>
              <w:rPr>
                <w:sz w:val="15"/>
              </w:rPr>
              <w:t>Official O.B.E. appointment of Captain Edward Alfred Davies.</w:t>
            </w:r>
          </w:p>
        </w:tc>
      </w:tr>
      <w:tr>
        <w:tc>
          <w:tcPr>
            <w:tcW w:type="dxa" w:w="648"/>
            <w:tcMar>
              <w:top w:w="80" w:type="dxa"/>
              <w:start w:w="80" w:type="dxa"/>
              <w:bottom w:w="80" w:type="dxa"/>
              <w:end w:w="80" w:type="dxa"/>
            </w:tcMar>
            <w:vAlign w:val="top"/>
          </w:tcPr>
          <w:p>
            <w:pPr>
              <w:keepLines/>
              <w:spacing w:after="0"/>
            </w:pPr>
            <w:r>
              <w:rPr>
                <w:sz w:val="15"/>
              </w:rPr>
              <w:t>S15</w:t>
            </w:r>
          </w:p>
        </w:tc>
        <w:tc>
          <w:tcPr>
            <w:tcW w:type="dxa" w:w="4608"/>
            <w:tcMar>
              <w:top w:w="80" w:type="dxa"/>
              <w:start w:w="80" w:type="dxa"/>
              <w:bottom w:w="80" w:type="dxa"/>
              <w:end w:w="80" w:type="dxa"/>
            </w:tcMar>
            <w:vAlign w:val="top"/>
          </w:tcPr>
          <w:p>
            <w:pPr>
              <w:keepLines/>
              <w:spacing w:after="0"/>
            </w:pPr>
            <w:r>
              <w:rPr>
                <w:sz w:val="15"/>
              </w:rPr>
              <w:t>Vessel identity records + Robert James Davies discharge book 27710.</w:t>
            </w:r>
          </w:p>
        </w:tc>
        <w:tc>
          <w:tcPr>
            <w:tcW w:type="dxa" w:w="1728"/>
            <w:tcMar>
              <w:top w:w="80" w:type="dxa"/>
              <w:start w:w="80" w:type="dxa"/>
              <w:bottom w:w="80" w:type="dxa"/>
              <w:end w:w="80" w:type="dxa"/>
            </w:tcMar>
            <w:vAlign w:val="top"/>
          </w:tcPr>
          <w:p>
            <w:pPr>
              <w:keepLines/>
              <w:spacing w:after="0"/>
            </w:pPr>
            <w:r>
              <w:rPr>
                <w:sz w:val="15"/>
              </w:rPr>
              <w:t>PRIMARY / DOCUMENTARY</w:t>
            </w:r>
          </w:p>
        </w:tc>
        <w:tc>
          <w:tcPr>
            <w:tcW w:type="dxa" w:w="3744"/>
            <w:tcMar>
              <w:top w:w="80" w:type="dxa"/>
              <w:start w:w="80" w:type="dxa"/>
              <w:bottom w:w="80" w:type="dxa"/>
              <w:end w:w="80" w:type="dxa"/>
            </w:tcMar>
            <w:vAlign w:val="top"/>
          </w:tcPr>
          <w:p>
            <w:pPr>
              <w:keepLines/>
              <w:spacing w:after="0"/>
            </w:pPr>
            <w:r>
              <w:rPr>
                <w:sz w:val="15"/>
              </w:rPr>
              <w:t>Sarnolite O.N. 134515 → Imperial Hamilton O.N. 134515; Robert aboard in 1955.</w:t>
            </w:r>
          </w:p>
        </w:tc>
      </w:tr>
      <w:tr>
        <w:tc>
          <w:tcPr>
            <w:tcW w:type="dxa" w:w="2484"/>
          </w:tcPr>
          <w:p>
            <w:r>
              <w:t>S16</w:t>
            </w:r>
          </w:p>
        </w:tc>
        <w:tc>
          <w:tcPr>
            <w:tcW w:type="dxa" w:w="2484"/>
          </w:tcPr>
          <w:p>
            <w:r>
              <w:t>Parks Canada — Halifax Explosion National Historic Event</w:t>
            </w:r>
          </w:p>
        </w:tc>
        <w:tc>
          <w:tcPr>
            <w:tcW w:type="dxa" w:w="2484"/>
          </w:tcPr>
          <w:p>
            <w:r>
              <w:t>NATIONAL HISTORICAL AUTHORITY</w:t>
            </w:r>
          </w:p>
        </w:tc>
        <w:tc>
          <w:tcPr>
            <w:tcW w:type="dxa" w:w="2484"/>
          </w:tcPr>
          <w:p>
            <w:r>
              <w:t>6 Dec 1917 collision/explosion, approximate death toll, widespread destruction and next-day snowstorm.</w:t>
            </w:r>
          </w:p>
        </w:tc>
      </w:tr>
      <w:tr>
        <w:tc>
          <w:tcPr>
            <w:tcW w:type="dxa" w:w="2484"/>
          </w:tcPr>
          <w:p>
            <w:r>
              <w:t>S17</w:t>
            </w:r>
          </w:p>
        </w:tc>
        <w:tc>
          <w:tcPr>
            <w:tcW w:type="dxa" w:w="2484"/>
          </w:tcPr>
          <w:p>
            <w:r>
              <w:t>Canadian War Museum — Arthur Lismer, Convoy in Bedford Basin</w:t>
            </w:r>
          </w:p>
        </w:tc>
        <w:tc>
          <w:tcPr>
            <w:tcW w:type="dxa" w:w="2484"/>
          </w:tcPr>
          <w:p>
            <w:r>
              <w:t>NATIONAL MUSEUM</w:t>
            </w:r>
          </w:p>
        </w:tc>
        <w:tc>
          <w:tcPr>
            <w:tcW w:type="dxa" w:w="2484"/>
          </w:tcPr>
          <w:p>
            <w:r>
              <w:t>Halifax convoy assembly, 1917 U-boat threat and dazzle camouflage chronology.</w:t>
            </w:r>
          </w:p>
        </w:tc>
      </w:tr>
      <w:tr>
        <w:tc>
          <w:tcPr>
            <w:tcW w:type="dxa" w:w="2484"/>
          </w:tcPr>
          <w:p>
            <w:r>
              <w:t>S18</w:t>
            </w:r>
          </w:p>
        </w:tc>
        <w:tc>
          <w:tcPr>
            <w:tcW w:type="dxa" w:w="2484"/>
          </w:tcPr>
          <w:p>
            <w:r>
              <w:t>Historic Nova Scotia / Halifax Public Libraries — How to Dodge “Flu”</w:t>
            </w:r>
          </w:p>
        </w:tc>
        <w:tc>
          <w:tcPr>
            <w:tcW w:type="dxa" w:w="2484"/>
          </w:tcPr>
          <w:p>
            <w:r>
              <w:t>LOCAL HISTORICAL SYNTHESIS</w:t>
            </w:r>
          </w:p>
        </w:tc>
        <w:tc>
          <w:tcPr>
            <w:tcW w:type="dxa" w:w="2484"/>
          </w:tcPr>
          <w:p>
            <w:r>
              <w:t>Halifax influenza response, October 1918 closures and continued wartime maritime traffic.</w:t>
            </w:r>
          </w:p>
        </w:tc>
      </w:tr>
      <w:tr>
        <w:tc>
          <w:tcPr>
            <w:tcW w:type="dxa" w:w="2484"/>
          </w:tcPr>
          <w:p>
            <w:r>
              <w:t>S19</w:t>
            </w:r>
          </w:p>
        </w:tc>
        <w:tc>
          <w:tcPr>
            <w:tcW w:type="dxa" w:w="2484"/>
          </w:tcPr>
          <w:p>
            <w:r>
              <w:t>Halifax Municipal Archives — historical review</w:t>
            </w:r>
          </w:p>
        </w:tc>
        <w:tc>
          <w:tcPr>
            <w:tcW w:type="dxa" w:w="2484"/>
          </w:tcPr>
          <w:p>
            <w:r>
              <w:t>MUNICIPAL ARCHIVAL CONTEXT</w:t>
            </w:r>
          </w:p>
        </w:tc>
        <w:tc>
          <w:tcPr>
            <w:tcW w:type="dxa" w:w="2484"/>
          </w:tcPr>
          <w:p>
            <w:r>
              <w:t>Explosion reconstruction, Hydrostone context and the sharp 1921 economic downturn.</w:t>
            </w:r>
          </w:p>
        </w:tc>
      </w:tr>
    </w:tbl>
    <w:p>
      <w:pPr>
        <w:spacing w:after="0"/>
      </w:pPr>
    </w:p>
    <w:p>
      <w:pPr>
        <w:pStyle w:val="SourceNote"/>
      </w:pPr>
      <w:r>
        <w:t xml:space="preserve">Official online links preserved in this appendix: </w:t>
      </w:r>
      <w:hyperlink r:id="rId11">
        <w:r>
          <w:rPr>
            <w:color w:val="0563C1"/>
            <w:u w:val="single"/>
          </w:rPr>
          <w:t>Roy Albert Hall birth (NS Archives ID 381441)</w:t>
        </w:r>
      </w:hyperlink>
      <w:r>
        <w:t xml:space="preserve">  |  </w:t>
      </w:r>
      <w:hyperlink r:id="rId12">
        <w:r>
          <w:rPr>
            <w:color w:val="0563C1"/>
            <w:u w:val="single"/>
          </w:rPr>
          <w:t>Ronald Edward McKenzie birth (NS Archives ID 403124)</w:t>
        </w:r>
      </w:hyperlink>
    </w:p>
    <w:p>
      <w:pPr>
        <w:pStyle w:val="SourceNote"/>
      </w:pPr>
      <w:hyperlink r:id="rId13">
        <w:r>
          <w:rPr>
            <w:color w:val="0563C1"/>
            <w:u w:val="single"/>
          </w:rPr>
          <w:t>Imperial Oil Review, Winter 1945 (Memorial University)</w:t>
        </w:r>
      </w:hyperlink>
      <w:r>
        <w:t xml:space="preserve">  |  </w:t>
      </w:r>
      <w:hyperlink r:id="rId14">
        <w:r>
          <w:rPr>
            <w:color w:val="0563C1"/>
            <w:u w:val="single"/>
          </w:rPr>
          <w:t>Canada Gazette, 1 Jan 1945 (LAC)</w:t>
        </w:r>
      </w:hyperlink>
    </w:p>
    <w:tbl>
      <w:tblPr>
        <w:tblW w:type="auto" w:w="0"/>
        <w:jc w:val="center"/>
        <w:tblLayout w:type="autofit"/>
        <w:tblLook w:firstColumn="1" w:firstRow="1" w:lastColumn="0" w:lastRow="0" w:noHBand="0" w:noVBand="1" w:val="04A0"/>
      </w:tblPr>
      <w:tblGrid>
        <w:gridCol w:w="9936"/>
      </w:tblGrid>
      <w:tr>
        <w:trPr>
          <w:tblHeader w:val="true"/>
        </w:trPr>
        <w:tc>
          <w:tcPr>
            <w:tcW w:type="dxa" w:w="9936"/>
            <w:shd w:fill="F2F2F2"/>
            <w:tcMar>
              <w:top w:w="120" w:type="dxa"/>
              <w:start w:w="140" w:type="dxa"/>
              <w:bottom w:w="120" w:type="dxa"/>
              <w:end w:w="140" w:type="dxa"/>
            </w:tcMar>
          </w:tcPr>
          <w:p>
            <w:pPr>
              <w:keepLines/>
              <w:spacing w:after="0"/>
            </w:pPr>
            <w:r>
              <w:rPr>
                <w:b/>
                <w:color w:val="17365D"/>
              </w:rPr>
              <w:t>Preservation note</w:t>
            </w:r>
            <w:r>
              <w:br/>
              <w:t>If research stops here, this appendix is intended to preserve the usable result: the evidence chain, the unresolved conflicts, the oral-history corrections, and the narrative boundaries. Future work should add to it rather than replacing its contradictions with cleaner but unsupported conclusions.</w:t>
            </w:r>
          </w:p>
        </w:tc>
      </w:tr>
    </w:tbl>
    <w:p>
      <w:pPr>
        <w:spacing w:after="0"/>
      </w:pPr>
    </w:p>
    <w:p>
      <w:pPr>
        <w:pStyle w:val="SourceNote"/>
      </w:pPr>
      <w:r>
        <w:t>Context sources: Parks Canada — https://parks.canada.ca/culture/designation/evenement-event/halifax-explosion | Canadian War Museum — https://www.warmuseum.ca/collections/artifact/1016813 | Historic Nova Scotia — https://historicns.library.dal.ca/items/show/42</w:t>
      </w:r>
    </w:p>
    <w:p>
      <w:pPr>
        <w:jc w:val="center"/>
      </w:pPr>
      <w:r>
        <w:rPr>
          <w:b/>
          <w:color w:val="17365D"/>
          <w:sz w:val="20"/>
        </w:rPr>
        <w:t>END OF APPENDIX</w:t>
      </w:r>
    </w:p>
    <w:sectPr w:rsidR="00FC693F" w:rsidRPr="0006063C" w:rsidSect="00034616">
      <w:headerReference w:type="default" r:id="rId9"/>
      <w:footerReference w:type="default" r:id="rId10"/>
      <w:pgSz w:w="12240" w:h="15840"/>
      <w:pgMar w:top="1008" w:right="1152" w:bottom="1008" w:left="1152" w:header="432"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Captain Edward “Ted” Davies documentary reconstruction  •  28 August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666666"/>
        <w:sz w:val="16"/>
      </w:rPr>
      <w:t>ROBERT JAMES DAVIES FAMILY HISTORY  |  PRESERVATION APPENDIX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eastAsia="Arial"/>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rial" w:hAnsi="Arial" w:eastAsia="Arial"/>
      <w:b/>
      <w:bCs/>
      <w:color w:val="2F5597"/>
      <w:sz w:val="25"/>
      <w:szCs w:val="26"/>
    </w:rPr>
  </w:style>
  <w:style w:type="paragraph" w:styleId="Heading3">
    <w:name w:val="heading 3"/>
    <w:basedOn w:val="Normal"/>
    <w:next w:val="Normal"/>
    <w:link w:val="Heading3Char"/>
    <w:uiPriority w:val="9"/>
    <w:unhideWhenUsed/>
    <w:qFormat/>
    <w:rsid w:val="00FC693F"/>
    <w:pPr>
      <w:keepNext/>
      <w:keepLines/>
      <w:spacing w:before="140" w:after="40"/>
      <w:outlineLvl w:val="2"/>
    </w:pPr>
    <w:rPr>
      <w:rFonts w:asciiTheme="majorHAnsi" w:eastAsiaTheme="majorEastAsia" w:hAnsiTheme="majorHAnsi" w:cstheme="majorBidi" w:ascii="Arial" w:hAnsi="Arial" w:eastAsia="Arial"/>
      <w:b/>
      <w:bCs/>
      <w:color w:val="17365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rial" w:hAnsi="Arial" w:eastAsia="Arial"/>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btitleSmall">
    <w:name w:val="Subtitle Small"/>
    <w:pPr>
      <w:spacing w:after="160"/>
    </w:pPr>
    <w:rPr>
      <w:rFonts w:ascii="Arial" w:hAnsi="Arial" w:eastAsia="Arial"/>
      <w:color w:val="666666"/>
      <w:sz w:val="22"/>
    </w:rPr>
  </w:style>
  <w:style w:type="paragraph" w:customStyle="1" w:styleId="SourceNote">
    <w:name w:val="Source Note"/>
    <w:pPr>
      <w:spacing w:after="60"/>
    </w:pPr>
    <w:rPr>
      <w:rFonts w:ascii="Arial" w:hAnsi="Arial" w:eastAsia="Arial"/>
      <w:color w:val="666666"/>
      <w:sz w:val="17"/>
    </w:rPr>
  </w:style>
  <w:style w:type="paragraph" w:customStyle="1" w:styleId="Callout">
    <w:name w:val="Callout"/>
    <w:pPr>
      <w:spacing w:before="60" w:after="60"/>
    </w:pPr>
    <w:rPr>
      <w:rFonts w:ascii="Arial" w:hAnsi="Arial" w:eastAsia="Arial"/>
      <w:b/>
      <w:color w:val="17365D"/>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archives.novascotia.ca/vital-statistics/birth/?ID=381441" TargetMode="External"/><Relationship Id="rId12" Type="http://schemas.openxmlformats.org/officeDocument/2006/relationships/hyperlink" Target="https://archives.novascotia.ca/vital-statistics/birth/?ID=403124" TargetMode="External"/><Relationship Id="rId13" Type="http://schemas.openxmlformats.org/officeDocument/2006/relationships/hyperlink" Target="https://dai.mun.ca/PDFs/cns_period/TheImperialOilReviewVol29No3Winter1945.pdf" TargetMode="External"/><Relationship Id="rId14" Type="http://schemas.openxmlformats.org/officeDocument/2006/relationships/hyperlink" Target="https://central.bac-lac.gc.ca/.item?app=cangaz&amp;id=cgc_p1-2_v079_n001_t002_000_19450101_p00000&amp;op=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 Captain Edward “Ted” Davies: Documentary Reconstruction</dc:title>
  <dc:subject>Preservation appendix to the Robert James Davies family-history project</dc:subject>
  <dc:creator>python-docx</dc:creator>
  <cp:keywords>Davies, Halifax, genealogy, Captain Edward Davies, orphan years, Hall, McKenzie, Sarnolite</cp:keywords>
  <dc:description>Working synthesis. The authoritative evidence log controls where conflicts arise.</dc:description>
  <cp:lastModifiedBy/>
  <cp:revision>1</cp:revision>
  <dcterms:created xsi:type="dcterms:W3CDTF">2013-12-23T23:15:00Z</dcterms:created>
  <dcterms:modified xsi:type="dcterms:W3CDTF">2013-12-23T23:15:00Z</dcterms:modified>
  <cp:category/>
</cp:coreProperties>
</file>